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Γ3γ/οικ.42429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και Συμπλήρωση της υπ' αριθ. Γ.Π. οικ.56432/28.06.2014 (ΦΕΚ 1753/Β’) κοινή υπουργική απόφαση «Καθορισμός προϋποθέσεων, κριτηρίων και διαδικασιών πρόσβασης στο σύστημα φαρμακευτικής περίθαλψης ανασφαλίστων και οικονομικά αδυνάτων πολιτών».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ΥΠΟΥΡΓΟΙΕΡΓΑΣΙΑΣ, ΚΟΙΝΩΝΙΚΗΣ ΑΣΦΑΛΙΣΗΣΚΑΙ ΚΟΙΝΩΝΙΚΗΣ ΑΛΛΗΛΕΓΓΥΗΣ -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44 του Ν.2082/1992 (ΦΕΚ 158/ Α’) «Αναδιοργάνωση της Κοινωνικής Πρόνοιας και καθιέρωση νέων θεσμών Κοινωνικής Προστασίας».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2161/1993 (ΦΕΚ 119/Α’) «Τροποποίηση και συμπλήρωση των διατάξεων του Ν. 1729/1987 «Καταπολέμηση της διάδοσης των ναρκωτικών, προστασία των νέων και άλλες διατάξεις (ΦΕΚ 144/Α’)»,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 4139/2013 (ΦΕΚ 74/Α’) «Νόμος περί εξαρτησιογόνων ουσιών και άλλες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4238/2014 (ΦΕΚ 38/Α’) «Πρωτοβάθμιο Εθνικό Δίκτυο Υγείας (ΠΕΔΥ), αλλαγή σκοπού ΕΟΠΥΥ) και λοιπές διατάξεις»,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άρθρου 182 του Ν. 4270/2014 (ΦΕΚ 143/ Α’) «Αρχές δημοσιονομικής διαχείρισης και εποπτείας (ενσωμάτωση της Οδηγίας 2011/85/ΕΕ) - δημόσιο λογιστικό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άρθρου 27 του Ν. 4320/2015 (ΦΕΚ 29/ Α’) «Ρυθμίσεις για τη λήψη άμεσων μέτρων για την αντιμετώπιση της ανθρωπιστικής κρίσης, την οργάνωση της Κυβέρνησης και των Κυβερνητικών Οργάνων και λοιπές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106/2014 (ΦΕΚ 173/Α’) «Οργανισμός του Υπουργείου Υγείας»,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Π.δ. 25/2015 (ΦΕΚ 21/Α’) «Διορισμός Αντιπροέδρου της Κυβέρνησης,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με αριθ. 139491/2006 κοινή υπουργική απόφαση (ΦΕΚ 1747/Β’) «Καθορισμός προϋποθέσεων, κριτηρίων και διαδικασιών πρόσβασης στο σύστημα νοσηλευτικής και ιατροφαρμακευτικής περίθαλψης ανασφαλίστων και οικονομικά αδυνάτων πολιτών»,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10. Την με αριθ. Γ.Π. οικ.56432/28.06.2014 (ΦΕΚ 1753/Β’) κοινή υπουργική απόφαση «Καθορισμός προϋποθέσεων,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κριτηρίων και διαδικασιών πρόσβασης στο σύστημα φαρμακευτικής περίθαλψης ανασφαλίστων και οικονομικά αδυνάτων πολιτών».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με αριθ. πρωτ. 344/13-3-2015 έγγραφο, του Αναπληρωτή Υπουργού Υγείας και Κοινωνικών Ασφαλίσεων, με τη συνημμένη σχετική αλληλογραφία.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με αριθ. πρωτ. 37113/19-5-2015 εισήγηση της Γενικής Δ/νσης Οικονομικών Υπηρεσιών του Υπουργείου Υγείας.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Το γεγονός ότι από την παρούσα απόφαση δεν προκαλείται επιπλέον δαπάνη σε βάρος του Κρατικού Προϋπολογισμού, σε βάρος του Προϋπολογισμού του Ε.Ο.Π.Υ.Υ. και των Προϋπολογισμών των Νοσοκομείων του Ε.Σ.Υ.,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υπ' αριθ. Γ.Π. οικ.56432/28.06.2014 (ΦΕΚ 1753/Β’) κοινή υπουργική απόφαση «Καθορισμός προϋποθέσεων, κριτηρίων και διαδικασιών πρόσβασης στο σύστημα φαρμακευτικής περίθαλψης ανασφαλίστων και οικονομικά αδυνάτων πολιτών», τροποποιείται και συμπληρώνεται,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Στην παράγραφο 2, μετά το πρώτο εδάφιο, προστίθεται το ακόλουθο εδάφιο: «Ειδικά σε δικαιούχους οι οποίοι παρακολουθούν θεραπευτικά προγράμματα του ΟΚΑΝΑ και του ΚΕΘΕΑ, αρμόδιοι για τη συνταγογράφηση φαρμάκων είναι οι ιατροί του ΟΚΑΝΑ και του ΚΕΘΕΑ, αντίστοιχα».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Κατά τα λοιπά, η υπ' αριθ. Γ.Π. οικ.56432/28.06.2014 (ΦΕΚ 1753/Β’) κοινή υπουργική απόφαση, ισχύει ως έχει.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5 Ιουνίου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ΕΡΓΑΣΙΑΣ, ΚΟΙΝΩΝΙΚΗΣ ΑΣΦΑΛΙΣΗΣ ΥΓΕΙΑΣ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ΚΟΙΝΩΝΙΚΗΣ ΑΛΛΗΛΕΓΓΥΗΣ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ΠΑΝΑΓΙΩΤΗΣ ΣΚΟΥΡΛΕΤΗΣ ΠΑΝΑΓΙΩΤΗΣ ΚΟΥΡΟΥΜΠΛΗΣ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