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ΠΟΛ.1167/2015</w:t>
      </w:r>
    </w:p>
    <w:p>
      <w:pPr>
        <w:pStyle w:val="Title"/>
        <w:spacing w:before="120" w:after="360"/>
        <w:rPr>
          <w:lang w:val="el" w:eastAsia="el"/>
        </w:rPr>
      </w:pPr>
      <w:r>
        <w:rPr>
          <w:lang w:val="el" w:eastAsia="el"/>
        </w:rPr>
        <w:t>Διαδικασία απαλλαγής από το Φ.Π.Α. της αγοράς και της εισαγωγής αγαθών που προορίζονται για εξαγωγή ή ενδοκοινοτική παράδοση καθώς και των υπηρεσιών που συνδέονται άμεσα με τις πράξεις αυτές</w:t>
      </w:r>
    </w:p>
    <w:p>
      <w:pPr>
        <w:pStyle w:val="PreambelText"/>
        <w:spacing w:before="240" w:after="240"/>
        <w:rPr>
          <w:lang w:val="el" w:eastAsia="el"/>
        </w:rPr>
      </w:pPr>
      <w:r>
        <w:rPr>
          <w:lang w:val="el" w:eastAsia="el"/>
        </w:rPr>
        <w:t>Αθήνα, 29.7.2015</w:t>
      </w:r>
    </w:p>
    <w:p>
      <w:pPr>
        <w:pStyle w:val="PreambelText"/>
        <w:spacing w:before="240" w:after="240"/>
        <w:rPr>
          <w:lang w:val="el" w:eastAsia="el"/>
        </w:rPr>
      </w:pPr>
      <w:r>
        <w:rPr>
          <w:lang w:val="el" w:eastAsia="el"/>
        </w:rPr>
        <w:t>(ΦΕΚ Β' 1808/21-08-2015) - (Ημερομηνία επανακυκλοφορίας: 04.09.2015)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Α. ΓΕΝΙΚΗ ΔΙΕΥΘΥΝΣΗ ΦΟΡΟΛΟΓΙΚΗΣ ΔΙΟΙΚΗΣΗΣ</w:t>
      </w:r>
    </w:p>
    <w:p>
      <w:pPr>
        <w:pStyle w:val="PreambelText"/>
        <w:spacing w:before="240" w:after="240"/>
        <w:rPr>
          <w:lang w:val="el" w:eastAsia="el"/>
        </w:rPr>
      </w:pPr>
      <w:r>
        <w:rPr>
          <w:lang w:val="el" w:eastAsia="el"/>
        </w:rPr>
        <w:t>1. ΔΙΕΥΘΥΝΣΗ ΕΦΑΡΜΟΓΗΣ ΕΜΜΕΣΗΣ ΦΟΡΟΛΟΓΙΑΣ</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 Φ.Π.Α.</w:t>
      </w:r>
    </w:p>
    <w:p>
      <w:pPr>
        <w:spacing w:before="240" w:after="240"/>
        <w:rPr>
          <w:lang w:val="el" w:eastAsia="el"/>
        </w:rPr>
      </w:pPr>
      <w:r>
        <w:rPr>
          <w:lang w:val="el" w:eastAsia="el"/>
        </w:rPr>
        <w:t>Ταχ. Δ/νση : Σίνα 2-4</w:t>
      </w:r>
    </w:p>
    <w:p>
      <w:pPr>
        <w:spacing w:before="240" w:after="240"/>
        <w:rPr>
          <w:lang w:val="el" w:eastAsia="el"/>
        </w:rPr>
      </w:pPr>
      <w:r>
        <w:rPr>
          <w:lang w:val="el" w:eastAsia="el"/>
        </w:rPr>
        <w:t>Ταχ. Κώδικας : 106 72 ΑΘΗΝΑ</w:t>
      </w:r>
    </w:p>
    <w:p>
      <w:pPr>
        <w:spacing w:before="240" w:after="240"/>
        <w:rPr>
          <w:lang w:val="el" w:eastAsia="el"/>
        </w:rPr>
      </w:pPr>
      <w:r>
        <w:rPr>
          <w:lang w:val="el" w:eastAsia="el"/>
        </w:rPr>
        <w:t>Πληροφορίες : Αικ. Καρύδα</w:t>
      </w:r>
    </w:p>
    <w:p>
      <w:pPr>
        <w:spacing w:before="240" w:after="240"/>
        <w:rPr>
          <w:lang w:val="el" w:eastAsia="el"/>
        </w:rPr>
      </w:pPr>
      <w:r>
        <w:rPr>
          <w:lang w:val="el" w:eastAsia="el"/>
        </w:rPr>
        <w:t>Τηλέφωνο : 210- 3645378</w:t>
      </w:r>
    </w:p>
    <w:p>
      <w:pPr>
        <w:spacing w:before="240" w:after="240"/>
        <w:rPr>
          <w:lang w:val="el" w:eastAsia="el"/>
        </w:rPr>
      </w:pPr>
      <w:r>
        <w:rPr>
          <w:lang w:val="el" w:eastAsia="el"/>
        </w:rPr>
        <w:t>Fax : 210- 3645413</w:t>
      </w:r>
    </w:p>
    <w:p>
      <w:pPr>
        <w:spacing w:before="240" w:after="240"/>
        <w:rPr>
          <w:lang w:val="el" w:eastAsia="el"/>
        </w:rPr>
      </w:pPr>
      <w:r>
        <w:rPr>
          <w:lang w:val="el" w:eastAsia="el"/>
        </w:rPr>
        <w:t>e-mail : dfpa.a1@1992.syzefxis.gov.gr</w:t>
      </w:r>
    </w:p>
    <w:p>
      <w:pPr>
        <w:spacing w:before="240" w:after="240"/>
        <w:rPr>
          <w:lang w:val="el" w:eastAsia="el"/>
        </w:rPr>
      </w:pPr>
      <w:r>
        <w:rPr>
          <w:lang w:val="el" w:eastAsia="el"/>
        </w:rPr>
        <w:t>2. ΔΙΕΥΘΥΝΣΗ ΠΑΡΟΧΗΣ ΦΟΡΟΛΟΓΙΚΩΝ ΥΠΗΡΕΣΙΩΝ</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Ταχ. Δ/νση : Χανδρή 1 και Θεσσαλονίκης</w:t>
      </w:r>
    </w:p>
    <w:p>
      <w:pPr>
        <w:spacing w:before="240" w:after="240"/>
        <w:rPr>
          <w:lang w:val="el" w:eastAsia="el"/>
        </w:rPr>
      </w:pPr>
      <w:r>
        <w:rPr>
          <w:lang w:val="el" w:eastAsia="el"/>
        </w:rPr>
        <w:t>Ταχ. Κώδικας : 183 46 Μοσχάτο</w:t>
      </w:r>
    </w:p>
    <w:p>
      <w:pPr>
        <w:spacing w:before="240" w:after="240"/>
        <w:rPr>
          <w:lang w:val="el" w:eastAsia="el"/>
        </w:rPr>
      </w:pPr>
      <w:r>
        <w:rPr>
          <w:lang w:val="el" w:eastAsia="el"/>
        </w:rPr>
        <w:t>Β. ΓΕΝΙΚΗ ΔΙΕΥΘΥΝΣΗ ΗΛΕΚΤΡΟΝΙΚΗΣ ΔΙΑΚΥΒΕΡΝΗΣΗΣ ΚΑΙ ΑΝΘΡΩΠΙΝΟΥ ΔΥΝΑΜΙΚΟΥ</w:t>
      </w:r>
    </w:p>
    <w:p>
      <w:pPr>
        <w:spacing w:before="240" w:after="240"/>
        <w:rPr>
          <w:lang w:val="el" w:eastAsia="el"/>
        </w:rPr>
      </w:pPr>
      <w:r>
        <w:rPr>
          <w:lang w:val="el" w:eastAsia="el"/>
        </w:rPr>
        <w:t>ΔΙΕΥΘΥΝΣΗ ΗΛΕΚΤΡΟΝΙΚΗΣ ΔΙΑΚΥΒΕΡΝΗΣΗΣ</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lang w:val="el" w:eastAsia="el"/>
        </w:rPr>
        <w:t>Ταχ. Δ/νση : Χανδρή 1 και Θεσσαλονίκης</w:t>
      </w:r>
    </w:p>
    <w:p>
      <w:pPr>
        <w:spacing w:before="240" w:after="240"/>
        <w:rPr>
          <w:lang w:val="el" w:eastAsia="el"/>
        </w:rPr>
      </w:pPr>
      <w:r>
        <w:rPr>
          <w:lang w:val="el" w:eastAsia="el"/>
        </w:rPr>
        <w:t>Ταχ. Κώδικας : 183 46 Μοσχάτο</w:t>
      </w:r>
    </w:p>
    <w:p>
      <w:pPr>
        <w:spacing w:before="240" w:after="240"/>
        <w:rPr>
          <w:lang w:val="el" w:eastAsia="el"/>
        </w:rPr>
      </w:pPr>
      <w:r>
        <w:rPr>
          <w:lang w:val="el" w:eastAsia="el"/>
        </w:rPr>
        <w:t>Γ. ΓΕΝΙΚΗ ΔΙΕΥΘΥΝΣΗ ΤΕΛΩΝΕΙΩΝ ΚΑΙ Ε.Φ.Κ.</w:t>
      </w:r>
    </w:p>
    <w:p>
      <w:pPr>
        <w:spacing w:before="240" w:after="240"/>
        <w:rPr>
          <w:lang w:val="el" w:eastAsia="el"/>
        </w:rPr>
      </w:pPr>
      <w:r>
        <w:rPr>
          <w:lang w:val="el" w:eastAsia="el"/>
        </w:rPr>
        <w:t>Δ/ΝΣΗ ΕΦΚ ΚΑΙ ΦΠΑ</w:t>
      </w:r>
    </w:p>
    <w:p>
      <w:pPr>
        <w:spacing w:before="240" w:after="240"/>
        <w:rPr>
          <w:lang w:val="el" w:eastAsia="el"/>
        </w:rPr>
      </w:pPr>
      <w:r>
        <w:rPr>
          <w:lang w:val="el" w:eastAsia="el"/>
        </w:rPr>
        <w:t>Ταχ. Δ/νση : Καραγιώργη Σερβίας 10</w:t>
      </w:r>
    </w:p>
    <w:p>
      <w:pPr>
        <w:spacing w:before="240" w:after="240"/>
        <w:rPr>
          <w:lang w:val="el" w:eastAsia="el"/>
        </w:rPr>
      </w:pPr>
      <w:r>
        <w:rPr>
          <w:lang w:val="el" w:eastAsia="el"/>
        </w:rPr>
        <w:t>Τηλέφωνο : 210-6987409</w:t>
      </w:r>
    </w:p>
    <w:p>
      <w:pPr>
        <w:spacing w:before="240" w:after="240"/>
        <w:rPr>
          <w:lang w:val="el" w:eastAsia="el"/>
        </w:rPr>
      </w:pPr>
      <w:r>
        <w:rPr>
          <w:lang w:val="el" w:eastAsia="el"/>
        </w:rPr>
        <w:t>Fax : 210-6987424</w:t>
      </w:r>
    </w:p>
    <w:p>
      <w:pPr>
        <w:spacing w:before="240" w:after="240"/>
        <w:rPr>
          <w:lang w:val="el" w:eastAsia="el"/>
        </w:rPr>
      </w:pPr>
      <w:r>
        <w:rPr>
          <w:b/>
          <w:bCs/>
          <w:lang w:val="el" w:eastAsia="el"/>
        </w:rPr>
        <w:t>ΠΟΛ 1167/2015</w:t>
      </w:r>
    </w:p>
    <w:p>
      <w:pPr>
        <w:spacing w:before="240" w:after="240"/>
        <w:rPr>
          <w:lang w:val="el" w:eastAsia="el"/>
        </w:rPr>
      </w:pPr>
      <w:r>
        <w:rPr>
          <w:b/>
          <w:bCs/>
          <w:lang w:val="el" w:eastAsia="el"/>
        </w:rPr>
        <w:t>ΘΕΜΑ: Διαδικασία απαλλαγής από το Φ.Π.Α. της αγοράς και της εισαγωγής αγαθών που προορίζονται για εξαγωγή ή ενδοκοινοτική παράδοση καθώς και των υπηρεσιών που συνδέονται άμεσα με τις πράξεις αυτές.</w:t>
      </w:r>
    </w:p>
    <w:p>
      <w:pPr>
        <w:spacing w:before="240" w:after="240"/>
        <w:rPr>
          <w:lang w:val="el" w:eastAsia="el"/>
        </w:rPr>
      </w:pPr>
      <w:r>
        <w:rPr>
          <w:lang w:val="el" w:eastAsia="el"/>
        </w:rPr>
        <w:t>ΑΠΟΦΑΣΗ</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κάτωθι διατάξεις του Κώδικα ΦΠΑ (κυρ. Ν.2859/2000-ΦΕΚ 248 Α'), όπως ισχύει:</w:t>
      </w:r>
    </w:p>
    <w:p>
      <w:pPr>
        <w:pStyle w:val="StructureList1"/>
        <w:spacing w:before="120" w:after="0"/>
        <w:rPr>
          <w:lang w:val="el" w:eastAsia="el"/>
        </w:rPr>
      </w:pPr>
      <w:r>
        <w:rPr>
          <w:lang w:val="el" w:eastAsia="el"/>
        </w:rPr>
        <w:t>α)</w:t>
      </w:r>
      <w:r>
        <w:rPr>
          <w:lang w:val="en" w:eastAsia="en"/>
        </w:rPr>
        <w:tab/>
      </w:r>
      <w:r>
        <w:rPr>
          <w:lang w:val="el" w:eastAsia="el"/>
        </w:rPr>
        <w:t>του άρθρου 24,</w:t>
      </w:r>
    </w:p>
    <w:p>
      <w:pPr>
        <w:pStyle w:val="StructureList1"/>
        <w:spacing w:before="120" w:after="0"/>
        <w:rPr>
          <w:lang w:val="el" w:eastAsia="el"/>
        </w:rPr>
      </w:pPr>
      <w:r>
        <w:rPr>
          <w:lang w:val="el" w:eastAsia="el"/>
        </w:rPr>
        <w:t>β)</w:t>
      </w:r>
      <w:r>
        <w:rPr>
          <w:lang w:val="en" w:eastAsia="en"/>
        </w:rPr>
        <w:tab/>
      </w:r>
      <w:r>
        <w:rPr>
          <w:lang w:val="el" w:eastAsia="el"/>
        </w:rPr>
        <w:t>του άρθρου 28.</w:t>
      </w:r>
    </w:p>
    <w:p>
      <w:pPr>
        <w:spacing w:before="240" w:after="240"/>
        <w:rPr>
          <w:lang w:val="el" w:eastAsia="el"/>
        </w:rPr>
      </w:pPr>
      <w:r>
        <w:rPr>
          <w:lang w:val="el" w:eastAsia="el"/>
        </w:rPr>
        <w:t>2. Τις διατάξεις του Ν.4174/2013 (Φ.Ε.Κ. 170/26.7.2013 τ.Α') "Φορολογικές διαδικασίες και άλλες διατάξεις", όπως ισχύει.</w:t>
      </w:r>
    </w:p>
    <w:p>
      <w:pPr>
        <w:spacing w:before="240" w:after="240"/>
        <w:rPr>
          <w:lang w:val="el" w:eastAsia="el"/>
        </w:rPr>
      </w:pPr>
      <w:r>
        <w:rPr>
          <w:lang w:val="el" w:eastAsia="el"/>
        </w:rPr>
        <w:t>3. Τις διατάξεις των κάτωθι αποφάσεων του Υπουργού Οικονομικών:</w:t>
      </w:r>
    </w:p>
    <w:p>
      <w:pPr>
        <w:pStyle w:val="StructureList1"/>
        <w:spacing w:before="120" w:after="0"/>
        <w:rPr>
          <w:lang w:val="el" w:eastAsia="el"/>
        </w:rPr>
      </w:pPr>
      <w:r>
        <w:rPr>
          <w:lang w:val="el" w:eastAsia="el"/>
        </w:rPr>
        <w:t>α)</w:t>
      </w:r>
      <w:r>
        <w:rPr>
          <w:lang w:val="en" w:eastAsia="en"/>
        </w:rPr>
        <w:tab/>
      </w:r>
      <w:r>
        <w:rPr>
          <w:lang w:val="el" w:eastAsia="el"/>
        </w:rPr>
        <w:t>της αριθ. πρωτ. 1103551/8478/Α0014/ΠΟΛ.1262/2.8.1993 (ΦΕΚ 675 Β'),</w:t>
      </w:r>
    </w:p>
    <w:p>
      <w:pPr>
        <w:pStyle w:val="StructureList1"/>
        <w:spacing w:before="120" w:after="0"/>
        <w:rPr>
          <w:lang w:val="el" w:eastAsia="el"/>
        </w:rPr>
      </w:pPr>
      <w:r>
        <w:rPr>
          <w:lang w:val="el" w:eastAsia="el"/>
        </w:rPr>
        <w:t>β)</w:t>
      </w:r>
      <w:r>
        <w:rPr>
          <w:lang w:val="en" w:eastAsia="en"/>
        </w:rPr>
        <w:tab/>
      </w:r>
      <w:r>
        <w:rPr>
          <w:lang w:val="el" w:eastAsia="el"/>
        </w:rPr>
        <w:t>της αριθ. πρωτ. 1017949/693/165/0014/ΠΟΛ.1075/13.3.1995 (ΦΕΚ 212 Β'),</w:t>
      </w:r>
    </w:p>
    <w:p>
      <w:pPr>
        <w:pStyle w:val="StructureList1"/>
        <w:spacing w:before="120" w:after="0"/>
        <w:rPr>
          <w:lang w:val="el" w:eastAsia="el"/>
        </w:rPr>
      </w:pPr>
      <w:r>
        <w:rPr>
          <w:lang w:val="el" w:eastAsia="el"/>
        </w:rPr>
        <w:t>γ)</w:t>
      </w:r>
      <w:r>
        <w:rPr>
          <w:lang w:val="en" w:eastAsia="en"/>
        </w:rPr>
        <w:tab/>
      </w:r>
      <w:r>
        <w:rPr>
          <w:lang w:val="el" w:eastAsia="el"/>
        </w:rPr>
        <w:t>της αριθ. πρωτ. 1058757/2754/791/Α0014/ΠΟΛ.1155/6.6.1995 (ΦΕΚ 527 Β'),</w:t>
      </w:r>
    </w:p>
    <w:p>
      <w:pPr>
        <w:pStyle w:val="StructureList1"/>
        <w:spacing w:before="120" w:after="0"/>
        <w:rPr>
          <w:lang w:val="el" w:eastAsia="el"/>
        </w:rPr>
      </w:pPr>
      <w:r>
        <w:rPr>
          <w:lang w:val="el" w:eastAsia="el"/>
        </w:rPr>
        <w:t>δ)</w:t>
      </w:r>
      <w:r>
        <w:rPr>
          <w:lang w:val="en" w:eastAsia="en"/>
        </w:rPr>
        <w:tab/>
      </w:r>
      <w:r>
        <w:rPr>
          <w:lang w:val="el" w:eastAsia="el"/>
        </w:rPr>
        <w:t>της αριθ. πρωτ. 1083791/3558/1071/0014/ΠΟΛ.1198/13.7.1995 (ΦΕΚ 650 Β'),</w:t>
      </w:r>
    </w:p>
    <w:p>
      <w:pPr>
        <w:pStyle w:val="StructureList1"/>
        <w:spacing w:before="120" w:after="0"/>
        <w:rPr>
          <w:lang w:val="el" w:eastAsia="el"/>
        </w:rPr>
      </w:pPr>
      <w:r>
        <w:rPr>
          <w:lang w:val="el" w:eastAsia="el"/>
        </w:rPr>
        <w:t>ε)</w:t>
      </w:r>
      <w:r>
        <w:rPr>
          <w:lang w:val="en" w:eastAsia="en"/>
        </w:rPr>
        <w:tab/>
      </w:r>
      <w:r>
        <w:rPr>
          <w:lang w:val="el" w:eastAsia="el"/>
        </w:rPr>
        <w:t>της αριθ. πρωτ. 1107479/5132/1534/0014/ΠΟΛ.1272/17.10.1996 (ΦΕΚ 993 Β'),</w:t>
      </w:r>
    </w:p>
    <w:p>
      <w:pPr>
        <w:pStyle w:val="StructureList1"/>
        <w:spacing w:before="120" w:after="0"/>
        <w:rPr>
          <w:lang w:val="el" w:eastAsia="el"/>
        </w:rPr>
      </w:pPr>
      <w:r>
        <w:rPr>
          <w:lang w:val="el" w:eastAsia="el"/>
        </w:rPr>
        <w:t>στ)</w:t>
      </w:r>
      <w:r>
        <w:rPr>
          <w:lang w:val="en" w:eastAsia="en"/>
        </w:rPr>
        <w:tab/>
      </w:r>
      <w:r>
        <w:rPr>
          <w:lang w:val="el" w:eastAsia="el"/>
        </w:rPr>
        <w:t>της αριθ. πρωτ. 1064690/3772/713/Α0014/ΠΟΛ.1206/31.7.2002 (ΦΕΚ 1073 Β'),</w:t>
      </w:r>
    </w:p>
    <w:p>
      <w:pPr>
        <w:pStyle w:val="StructureList1"/>
        <w:spacing w:before="120" w:after="0"/>
        <w:rPr>
          <w:lang w:val="el" w:eastAsia="el"/>
        </w:rPr>
      </w:pPr>
      <w:r>
        <w:rPr>
          <w:lang w:val="el" w:eastAsia="el"/>
        </w:rPr>
        <w:t>ζ)</w:t>
      </w:r>
      <w:r>
        <w:rPr>
          <w:lang w:val="en" w:eastAsia="en"/>
        </w:rPr>
        <w:tab/>
      </w:r>
      <w:r>
        <w:rPr>
          <w:lang w:val="el" w:eastAsia="el"/>
        </w:rPr>
        <w:t>της αριθ. πρωτ. 1035115/1060/254/Α0014/ΠΟΛ.1061/26.3.2008 (ΦΕΚ 581 Β').</w:t>
      </w:r>
    </w:p>
    <w:p>
      <w:pPr>
        <w:spacing w:before="240" w:after="240"/>
        <w:rPr>
          <w:lang w:val="el" w:eastAsia="el"/>
        </w:rPr>
      </w:pPr>
      <w:r>
        <w:rPr>
          <w:lang w:val="el" w:eastAsia="el"/>
        </w:rPr>
        <w:t>4. Τις διατάξεις της Α.Γ.Γ.Δ.Ε. ΠΟΛ.1229/20.11.2014 (ΦΕΚ 3329 Β').</w:t>
      </w:r>
    </w:p>
    <w:p>
      <w:pPr>
        <w:spacing w:before="240" w:after="240"/>
        <w:rPr>
          <w:lang w:val="el" w:eastAsia="el"/>
        </w:rPr>
      </w:pPr>
      <w:r>
        <w:rPr>
          <w:lang w:val="el" w:eastAsia="el"/>
        </w:rPr>
        <w:t>5. Τις διατάξεις του Ν.4308/2014 (Φ.Ε.Κ. 251/ 24-12-2014 τ.Α') "Ελληνικά Λογιστικά Πρότυπα, συναφείς ρυθμίσεις και άλλες διατάξεις".</w:t>
      </w:r>
    </w:p>
    <w:p>
      <w:pPr>
        <w:spacing w:before="240" w:after="240"/>
        <w:rPr>
          <w:lang w:val="el" w:eastAsia="el"/>
        </w:rPr>
      </w:pPr>
      <w:r>
        <w:rPr>
          <w:lang w:val="el" w:eastAsia="el"/>
        </w:rPr>
        <w:t>6. Τις διατάξεις του άρθρου 164 της Οδηγίας 2006/112/ ΕΚ</w:t>
      </w:r>
    </w:p>
    <w:p>
      <w:pPr>
        <w:spacing w:before="240" w:after="240"/>
        <w:rPr>
          <w:lang w:val="el" w:eastAsia="el"/>
        </w:rPr>
      </w:pPr>
      <w:r>
        <w:rPr>
          <w:lang w:val="el" w:eastAsia="el"/>
        </w:rPr>
        <w:t>7. Την με αριθ. Δ6Α 1015213 ΕΞ 2013/28.1.2013 (Φ.Ε.Κ. 130/28.1.2013 τ. Β' και 372/ 19.2.2013 τ. Β') Κοινή Απόφαση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8. Την πράξη του Υπουργικού Συμβουλίου αρ. 20 της 25.6.2014 (τ. Υ.Ο.Δ.Δ. 360/25.6.2014)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9. Τα αιτήματα επιχειρήσεων και φορέων για επανεξέταση του τρόπου χορήγησης του ορίου απαλλαγής, λαμβάνοντας υπόψη και τα αποτελέσματα της 82ης Σύσκεψης της Ευρωπαϊκής Επιτροπής Φ.Π.Α. (30.11.2007).</w:t>
      </w:r>
    </w:p>
    <w:p>
      <w:pPr>
        <w:spacing w:before="240" w:after="240"/>
        <w:rPr>
          <w:lang w:val="el" w:eastAsia="el"/>
        </w:rPr>
      </w:pPr>
      <w:r>
        <w:rPr>
          <w:lang w:val="el" w:eastAsia="el"/>
        </w:rPr>
        <w:t>10. Το γεγονός ότι από την απόφαση αυτή δεν προκαλείται δαπάνη εις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Καθορίζουμε τους όρους, τις προϋποθέσεις και τη διαδικασία απαλλαγής από το ΦΠΑ για την αγορά ή την εισαγωγή αγαθών που προορίζονται για εξαγωγή και ενδοκοινοτική παράδοση, αυτούσια ή μεταποιημένα, καθώς και των υπηρεσιών που συνδέονται άμεσα με τις πράξεις αυτές, σύμφωνα με τα επόμενα άρθρα.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Δικαιούχα πρόσωπα</w:t>
      </w:r>
    </w:p>
    <w:p>
      <w:pPr>
        <w:spacing w:before="240" w:after="240"/>
        <w:rPr>
          <w:lang w:val="el" w:eastAsia="el"/>
        </w:rPr>
      </w:pPr>
      <w:r>
        <w:rPr>
          <w:lang w:val="el" w:eastAsia="el"/>
        </w:rPr>
        <w:t>Παρέχεται η ευχέρεια στους υποκειμένους στο φόρο να αγοράζουν από το εσωτερικό της χώρας ή να εισάγουν αγαθά, με απαλλαγή από το φόρο προστιθέμενης αξίας, σύμφωνα με τις διατάξεις της παρούσας, εφόσον αυτά προορίζονται να αποτελέσουν αντικείμενο για την πραγματοποίηση εξαγωγών του άρθρου 24 παράγραφος 1 περιπτώσεις α και β και ενδοκοινοτικών παραδόσεων του άρθρου 28 παράγραφος 1 περιπτώσεις α και γ του Κώδικα Φ.Π.Α. (κυρ. Ν.2859/2000) καθώς και να λαμβάνουν υπηρεσίες που είναι άμεσα συνδεδεμένες με τις δραστηριότητες αυτές.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Έγκριση απαλλαγής</w:t>
      </w:r>
    </w:p>
    <w:p>
      <w:pPr>
        <w:spacing w:before="240" w:after="240"/>
        <w:rPr>
          <w:lang w:val="el" w:eastAsia="el"/>
        </w:rPr>
      </w:pPr>
      <w:r>
        <w:rPr>
          <w:lang w:val="el" w:eastAsia="el"/>
        </w:rPr>
        <w:t>Χορηγείται άμεση απαλλαγή από το Φ.Π.Α. για την αγορά από το εσωτερικό της χώρας ή την εισαγωγή αγαθών ή την λήψη υπηρεσιών, σύμφωνα με τις διαδικασίες της παρούσας, στα δικαιούχα πρόσωπα του ανωτέρω άρθρου 1, εφόσον κατά την τελευταία τριετία δεν έχει εκδοθεί σε βάρος τους αμετάκλητη απόφαση διοικητικού δικαστηρίου για τη διάπραξη φορολογικών παραβάσεων που συνιστούν φοροδιαφυγή κατά την έννοια και τα όρια του άρθρου 66 παρ. 1 έως 4 του ν. 4174/2013, και το όριο έκδοσης εικονικών ή πλαστών στοιχείων, αποδοχής εικονικών στοιχείων και νόθευσης τέτοιων στοιχείων της περ. α’ του τελευταίου εδαφίου της παρ. 5 του άρθρου 66 του ν. 4174/2013, όπως αυτά ισχύουν.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Υπολογισμός του ορίου απαλλαγής</w:t>
      </w:r>
    </w:p>
    <w:p>
      <w:pPr>
        <w:spacing w:before="240" w:after="240"/>
        <w:rPr>
          <w:lang w:val="el" w:eastAsia="el"/>
        </w:rPr>
      </w:pPr>
      <w:r>
        <w:rPr>
          <w:lang w:val="el" w:eastAsia="el"/>
        </w:rPr>
        <w:t>Η συνολική αξία των πράξεων που δύνανται να πραγματοποιηθούν με απαλλαγή από το φόρο σε μία δωδεκάμηνη χρονική περίοδο, δεν μπορεί να υπερβεί τη συνολική αξία των εξαγωγών και των ενδοκοινοτικών παραδόσεων οι οποίες πραγματοποιήθηκαν κατά το δωδεκάμηνο που ολοκληρώνεται την τελευταία ημέρα του μήνα ο οποίος προηγείται της αίτησης που υποβάλλει ο υποκείμενος για την έγκριση της απαλλαγής. Το όριο που χορηγείται ισχύει για το επόμενο της έγκρισης δωδεκάμηνο. Εάν το όριο εξαντληθεί πριν την λήξη της δωδεκάμηνης χρονικής περιόδου για την οποία χορηγήθηκε, είτε το υπολειπόμενο όριο δεν επαρκεί για την διενέργεια απαλλασσόμενων πράξεων με τις διατάξεις τις παρούσας, ο υποκείμενος έχει την δυνατότητα να επαναλαμβάνει την διαδικασία μετά την παρέλευση τουλάχιστον ενός μηνός από την προηγούμενη αίτηση. Για κάθε νέα αίτηση ο υπολογισμός του χορηγούμενου ορίου ακολουθεί τον ανωτέρω κανόνα της μη υπέρβασης των εξαγωγών και ενδοκοινοτικών παραδόσεων του δωδεκαμήνου που ολοκληρώνεται την τελευταία ημέρα του μήνα που προηγείται της αίτησης.</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έγκρισης του ορίου απαλλαγής</w:t>
      </w:r>
    </w:p>
    <w:p>
      <w:pPr>
        <w:pStyle w:val="MainText"/>
        <w:spacing w:before="120" w:after="0"/>
        <w:rPr>
          <w:lang w:val="el" w:eastAsia="el"/>
        </w:rPr>
      </w:pPr>
      <w:r>
        <w:rPr>
          <w:b/>
          <w:bCs/>
          <w:lang w:val="el" w:eastAsia="el"/>
        </w:rPr>
        <w:t>1.</w:t>
      </w:r>
      <w:r>
        <w:rPr>
          <w:lang w:val="el" w:eastAsia="el"/>
        </w:rPr>
        <w:t xml:space="preserve"> Ο υποκείμενος στο φόρο που προτίθεται να τύχει απαλλαγής του Φ.Π.Α. για την αγορά ή εισαγωγή αγαθών, τα οποία θα αποτελέσουν αντικείμενο εξαγωγών ή ενδοκοινοτικών παραδόσεων Φ.Π.Α., καθώς και για τη λήψη υπηρεσιών που είναι άμεσα συνδεδεμένες με τις πράξεις αυτές, υποχρεούται να υποβάλλει στον προϊστάμενο της Δ.Ο.Υ., τα κάτωθι στοιχεία:</w:t>
      </w:r>
    </w:p>
    <w:p>
      <w:pPr>
        <w:pStyle w:val="StructureList1"/>
        <w:spacing w:before="120" w:after="0"/>
        <w:rPr>
          <w:lang w:val="el" w:eastAsia="el"/>
        </w:rPr>
      </w:pPr>
      <w:r>
        <w:rPr>
          <w:lang w:val="el" w:eastAsia="el"/>
        </w:rPr>
        <w:t>α)</w:t>
      </w:r>
      <w:r>
        <w:rPr>
          <w:lang w:val="en" w:eastAsia="en"/>
        </w:rPr>
        <w:tab/>
      </w:r>
      <w:r>
        <w:rPr>
          <w:lang w:val="el" w:eastAsia="el"/>
        </w:rPr>
        <w:t>Έντυπη αίτηση, όπως το υπόδειγμα 1</w:t>
      </w:r>
    </w:p>
    <w:p>
      <w:pPr>
        <w:spacing w:before="240" w:after="240"/>
        <w:rPr>
          <w:lang w:val="el" w:eastAsia="el"/>
        </w:rPr>
      </w:pPr>
      <w:r>
        <w:rPr>
          <w:lang w:val="el" w:eastAsia="el"/>
        </w:rPr>
        <w:t>Η αίτηση αφού πρωτοκολληθεί καταχωρείται , σε ειδικό βιβλίο - Μητρώο, όπως το υπόδειγμα 4.</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εξαγωγών, όπως το υπόδειγμα της περ. δ του άρθρου 2 της υπό στοιχεία Α.1158/2022 απόφασης Διοικητή ΑΑΔΕ, στην οποία καταχωρούνται ως ακολούθως: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βα)</w:t>
      </w:r>
      <w:r>
        <w:rPr>
          <w:lang w:val="en" w:eastAsia="en"/>
        </w:rPr>
        <w:tab/>
      </w:r>
      <w:r>
        <w:rPr>
          <w:lang w:val="el" w:eastAsia="el"/>
        </w:rPr>
        <w:t>i. οριστικοποιημένες εξαγωγές αγαθών που δεν έχουν ακυρωθεί κατά το κρινόμενο διάστημα και στην οποία αναγράφονται ανά τελωνείο εξαγωγής, περιλαμβανομένων και των αγαθών η αξία των οποίων δεν υπερβαίνει τα χίλια (1000) ευρώ για την εξαγωγή των οποίων τηρείται απλουστευμένη διαδικασία, τα κάτωθι στοιχεία όπως προκύπτουν από τα αποδεικτικά εξόδου των αγαθών από το τελωνειακό έδαφος της Ε.Ε.:</w:t>
      </w:r>
    </w:p>
    <w:p>
      <w:pPr>
        <w:pStyle w:val="StructureList1"/>
        <w:spacing w:before="120" w:after="0"/>
        <w:rPr>
          <w:lang w:val="el" w:eastAsia="el"/>
        </w:rPr>
      </w:pPr>
      <w:r>
        <w:rPr>
          <w:lang w:val="el" w:eastAsia="el"/>
        </w:rPr>
        <w:t>-</w:t>
      </w:r>
      <w:r>
        <w:rPr>
          <w:lang w:val="en" w:eastAsia="en"/>
        </w:rPr>
        <w:tab/>
      </w:r>
      <w:r>
        <w:rPr>
          <w:lang w:val="el" w:eastAsia="el"/>
        </w:rPr>
        <w:t>ο αριθμός καταχώρησης των τελωνειακών παραστατικών εξαγωγής (MRN)/παραστατικών εγγράφων/ αρχείων,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w:t>
      </w:r>
      <w:r>
        <w:rPr>
          <w:lang w:val="en" w:eastAsia="en"/>
        </w:rPr>
        <w:tab/>
      </w:r>
      <w:r>
        <w:rPr>
          <w:lang w:val="el" w:eastAsia="el"/>
        </w:rPr>
        <w:t>η χώρα εξαγωγής,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w:t>
      </w:r>
      <w:r>
        <w:rPr>
          <w:lang w:val="en" w:eastAsia="en"/>
        </w:rPr>
        <w:tab/>
      </w:r>
      <w:r>
        <w:rPr>
          <w:lang w:val="el" w:eastAsia="el"/>
        </w:rPr>
        <w:t>η αξία παράδοσης αγαθών που προορίζονται για εξαγωγή, όπως αναγράφεται στο οικείο τιμολόγιο, το οποίο δηλώνεται επί του τελωνειακού παραστατικού της εξαγωγής και</w:t>
      </w:r>
    </w:p>
    <w:p>
      <w:pPr>
        <w:pStyle w:val="StructureList1"/>
        <w:spacing w:before="120" w:after="0"/>
        <w:rPr>
          <w:lang w:val="el" w:eastAsia="el"/>
        </w:rPr>
      </w:pPr>
      <w:r>
        <w:rPr>
          <w:lang w:val="el" w:eastAsia="el"/>
        </w:rPr>
        <w:t>-</w:t>
      </w:r>
      <w:r>
        <w:rPr>
          <w:lang w:val="en" w:eastAsia="en"/>
        </w:rPr>
        <w:tab/>
      </w:r>
      <w:r>
        <w:rPr>
          <w:lang w:val="el" w:eastAsia="el"/>
        </w:rPr>
        <w:t>η συνολική αξία των εξαγωγών.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ii. εξαγωγές ταχυδρομικών αντικειμένων για τις οποίες έχουν υποβληθεί τελωνειακές δηλώσεις CN23 μέσω του Φορέα Παροχής Καθολικής Υπηρεσίας (Φ.Π.Κ.Υ.) και η έξοδός τους έχει επιβεβαιωθεί με σχετική πράξη παραλαβής από το εγκεκριμένο κατάστημα/πρακτορείο του Φ.Π.Κ.Υ. κατ’εφαρμογή της υπό στοιχεία ΔΤΔ Α 1181957 ΕΞ 2016/9.12.2016 κοινή υπουργική απόφαση και στην οποία αναγράφονται ο αριθμός αντικειμένου, η χώρα εξαγωγής, η αξία παράδοσης αγαθών και η συνολική αξία των εξαγωγών,</w:t>
      </w:r>
    </w:p>
    <w:p>
      <w:pPr>
        <w:spacing w:before="240" w:after="240"/>
        <w:rPr>
          <w:lang w:val="el" w:eastAsia="el"/>
        </w:rPr>
      </w:pPr>
      <w:r>
        <w:rPr>
          <w:lang w:val="el" w:eastAsia="el"/>
        </w:rPr>
        <w:t>iii. αποδείξεις λιανικής πώλησης, οι οποίες είναι θεωρημένες από το τελωνείο εξόδου, για παραδόσεις σε ταξιδιώτες εγκατεστημένους σε τρίτες χώρες, σύμφωνα με το άρθρο 24 παρ. 1 περ. β. του Κώδικα ΦΠΑ και στην οποία αναγράφεται ο αριθμός της απόδειξης, η αξία πώλησης και η συνολική αξία των αποδείξεων,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iv. εξαγωγές αγαθών που έχουν παραδοθεί στο εσωτερικό της χώρας για τις οποίες η διασάφηση εξαγωγής υποβάλλεται σε τελωνείο άλλου κράτους μέλους της Ε.Ε. και η ολοκλήρωση της εξαγωγής λαμβάνει χώρα στο κράτος αυτό όπως προκύπτει από τα αποδεικτικά εξόδου των αγαθών από το τελωνειακό έδαφος της Ε.Ε., το οποίο παρέχεται από τις τελωνειακές αρχές κάθε κράτους μέλους, και στην οποία αναγράφεται η χώρα υποβολής της διασάφησης εξαγωγής, η χώρα εξαγωγής, η αξία παράδοσης των αγαθών και η συνολική αξία των εξαγωγών. ββ) Από τη συνολική αξία των εξαγωγών της περ. βα) αφαιρούνται τυχόν εκπτώσεις, επιστροφές ή ακυρώσεις που πραγματοποιήθηκαν την περίοδο αναφοράς.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Συγκεντρωτική κατάσταση ενδοκοινοτικών παραδόσεων, όπως το υπόδειγμα 3, στην οποία αναγράφονται, ανά κράτος μέλος και Α.Φ.Μ./Φ.Π.Α., η συνολική καθαρή αξία των παραδόσεων μόνο για τις ενδοκοινοτικές παραδόσεις για τις οποίες δεν έχει παρέλθει η προθεσμία υποβολής ανακεφαλαιωτικού πίνακα παραδόσεων, έως την ημερομηνία υποβολής της αίτησης. Επίσης στην κατάσταση αυτή αναγράφεται η συνολική αξία των ενδοκοινοτικών παραδόσεων των περιόδων για τις οποίες έχουν ήδη υποβληθεί ανακεφαλαιωτικοί πίνακες ενδοκοινοτικών παραδόσεων.</w:t>
      </w:r>
    </w:p>
    <w:p>
      <w:pPr>
        <w:pStyle w:val="MainText"/>
        <w:spacing w:before="120" w:after="0"/>
        <w:rPr>
          <w:lang w:val="el" w:eastAsia="el"/>
        </w:rPr>
      </w:pPr>
      <w:r>
        <w:rPr>
          <w:b/>
          <w:bCs/>
          <w:lang w:val="el" w:eastAsia="el"/>
        </w:rPr>
        <w:t>2.</w:t>
      </w:r>
      <w:r>
        <w:rPr>
          <w:lang w:val="el" w:eastAsia="el"/>
        </w:rPr>
        <w:t xml:space="preserve"> Ο προϊστάμενος της Δ.Ο.Υ. αφού λάβει υπόψη του τα δεδομένα: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i)</w:t>
      </w:r>
      <w:r>
        <w:rPr>
          <w:lang w:val="en" w:eastAsia="en"/>
        </w:rPr>
        <w:tab/>
      </w:r>
      <w:r>
        <w:rPr>
          <w:lang w:val="el" w:eastAsia="el"/>
        </w:rPr>
        <w:t>των ανωτέρω συγκεντρωτικών καταστάσεων β και γ,</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ii)</w:t>
      </w:r>
      <w:r>
        <w:rPr>
          <w:lang w:val="en" w:eastAsia="en"/>
        </w:rPr>
        <w:tab/>
      </w:r>
      <w:r>
        <w:rPr>
          <w:lang w:val="el" w:eastAsia="el"/>
        </w:rPr>
        <w:t>των υποβληθέντων ανακεφαλαιωτικών πινάκων ενδοκοινοτικών παραδόσεων που αφορούν το κρινόμενο χρονικό διάστημα,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iii)</w:t>
      </w:r>
      <w:r>
        <w:rPr>
          <w:lang w:val="en" w:eastAsia="en"/>
        </w:rPr>
        <w:tab/>
      </w:r>
      <w:r>
        <w:rPr>
          <w:lang w:val="el" w:eastAsia="el"/>
        </w:rPr>
        <w:t>την κατάσταση Εξαγωγών από τα Στοιχεία Τελωνείων (ICISnet) στο Taxis,</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εκδίδει άμεσα απόφαση για την έγκριση του ορίου απαλλαγής σύμφωνα με τα οριζόμενα στο άρθρο 3, όπως το υπόδειγμα 5, ή απόφαση για την απόρριψη του αιτήματος, όπως το υπόδειγμα 6. Οι αποφάσεις αυτές καταχωρούνται σε ειδικό βιβλίο αποφάσεων.</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iv)</w:t>
      </w:r>
      <w:r>
        <w:rPr>
          <w:lang w:val="en" w:eastAsia="en"/>
        </w:rPr>
        <w:tab/>
      </w:r>
      <w:r>
        <w:rPr>
          <w:lang w:val="el" w:eastAsia="el"/>
        </w:rPr>
        <w:t>οποιουδήποτε αποδεικτικού επιβεβαίωσης εξόδου των αγαθών από το τελωνειακό έδαφος της Ε.Ε., το οποίο προβλέπεται από τις διατάξεις της τελωνειακής νομοθεσίας.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Πριν τη λήξη της περιόδου για την οποία έχει χορηγηθεί το όριο με τις διατάξεις της παρούσας, και εφόσον το όριο αυτό δεν έχει ακόμα εξαντληθεί, δύναται ο υποκείμενος του άρθρου 1 να χρησιμοποιεί και νέα ή νέες σειρές ΕΔΔΑ, υπό την προϋπόθεση ότι θα έχει προηγηθεί ενημέρωση της ΔΟΥ με την υποβολή σχετικής γνωστοποίησης ως το επισυναπτόμενο στην παρούσα ΥΠΟΔΕΙΓΜΑ 9</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Άρθρο 4Α</w:t>
      </w:r>
    </w:p>
    <w:p>
      <w:pPr>
        <w:pStyle w:val="Heading6"/>
        <w:spacing w:before="240" w:after="240"/>
        <w:rPr>
          <w:lang w:val="el" w:eastAsia="el"/>
        </w:rPr>
      </w:pPr>
      <w:r>
        <w:rPr>
          <w:b/>
          <w:bCs/>
          <w:lang w:val="el" w:eastAsia="el"/>
        </w:rPr>
        <w:t>Εναλλακτικός προαιρετικός τρόπος υπολογισμού του ορίου της απαλλαγής για το έτος 2021</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Στα δικαιούχα πρόσωπα του άρθρου 1 με Κωδικό Αριθμό Δραστηριότητας (ΚΑΔ) (κύρια ή δευτερεύουσα), ο οποίος περιλαμβάνεται στους ΚΑΔ που επλήγη-σαν από την εξάπλωση της νόσου Covid-19, όπως αυτοί περιλαμβάνονται στην σχετική λίστα του Υπουργείου Οικονομικών με τους ΚΑΔ που εντάσσονται στα μέτρα στήριξης (https://www.minfin.gr/-/d-t-kodikoi-arithmoi-drasteriotetas-kad-ton-kladon-pou-plettontai-apo-ten-exaplose-tou-koronoiou-epikairopoiemene-lista-), και τα οποία το διάστημα από 1.1.2020 έως 31.12.2020 είχαν συγκριτικά με το διάστημα από 1.1.2019 έως 31.12.2019 μείωση του κύκλου εργασιών για σκοπούς Φ.Π.Α. δίνεται η δυνατότητα να επιλέξουν έως 31/12/2021 εναλλακτικό τρόπο υπολογισμού του ορίου του άρθρου 3.</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Για τον εναλλακτικό τρόπο υπολογισμού του ορίου του άρθρου 3, ως αξία των πράξεων που δύνανται να πραγματοποιηθούν με απαλλαγή από το φόρο σε μία δωδεκάμηνη χρονική περίοδο, λαμβάνεται υπόψη η συνολική αξία των εξαγωγών και των ενδοκοινοτικών παραδόσεων οι οποίες πραγματοποιήθηκαν κατά το δωδεκάμηνο που ολοκληρώνεται την τελευταία ημέρα του μήνα ο οποίος προηγείται της αίτησης που υποβάλλει ο υποκείμενος για την έγκριση της απαλλαγής, χωρίς να λαμβάνονται υπόψη για την συμπλήρωση των δώδεκα μηνών οι πράξεις που έχουν πραγματοποιηθεί εντός του 2020. Για την συμπλήρωση του δωδεκαμήνου λαμβάνονται υπόψη οι πράξεις που πραγματοποιήθηκαν στους αντίστοιχους μήνες του έτους 2019.</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Για την επιλογή του εναλλακτικού τρόπου υπολογισμού του ορίου υποβάλλεται αίτημα ως το επισυναπτόμενο υπόδειγμα 10 της παρούσας έως 31.12.2021 στην Δ.Ο.Υ. που είναι αρμόδια για την παραλαβή της δήλωσης ΦΠΑ σύμφωνα με τα οριζόμενα στην υπό στοιχεία Δ.ΟΡΓ.Α 1115805 ΕΞ 2017 απόφαση του Διοικητή της ΑΑΔΕ. Με την αίτηση συνυποβάλλονται τα λοιπά στοιχεία που προβλέπονται στο άρθρο 4 και επιπλέον:</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α. αρχείο που περιλαμβάνει:</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w:t>
      </w:r>
      <w:r>
        <w:rPr>
          <w:lang w:val="en" w:eastAsia="en"/>
        </w:rPr>
        <w:tab/>
      </w:r>
      <w:r>
        <w:rPr>
          <w:lang w:val="el" w:eastAsia="el"/>
        </w:rPr>
        <w:t>τις ενδοκοινοτικές παραδόσεις και τις οριστικές εξαγωγές ανά μήνα για τα έτη 2019 και 2020,</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w:t>
      </w:r>
      <w:r>
        <w:rPr>
          <w:lang w:val="en" w:eastAsia="en"/>
        </w:rPr>
        <w:tab/>
      </w:r>
      <w:r>
        <w:rPr>
          <w:lang w:val="el" w:eastAsia="el"/>
        </w:rPr>
        <w:t>τις εκροές της περιόδου 1.1.2019 έως 31.12.2019, όπως έχουν αναγραφεί στον κωδικό 312 της δήλωσης Φ.Π.Α. των οικείων φορολογικών περιόδων, συνολικά,</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w:t>
      </w:r>
      <w:r>
        <w:rPr>
          <w:lang w:val="en" w:eastAsia="en"/>
        </w:rPr>
        <w:tab/>
      </w:r>
      <w:r>
        <w:rPr>
          <w:lang w:val="el" w:eastAsia="el"/>
        </w:rPr>
        <w:t>τις εκροές της περιόδου 1.1.2020 έως 31.12.2020, όπως έχουν αναγραφεί στον κωδικό 312 της δήλωσης Φ.Π.Α. των οικείων φορολογικών περιόδων, συνολικά,</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w:t>
      </w:r>
      <w:r>
        <w:rPr>
          <w:lang w:val="en" w:eastAsia="en"/>
        </w:rPr>
        <w:tab/>
      </w:r>
      <w:r>
        <w:rPr>
          <w:lang w:val="el" w:eastAsia="el"/>
        </w:rPr>
        <w:t>υπολογισμό ποσοστιαίας μεταβολής μεταξύ των δυο παραπάνω ποσών,</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β. αίτημα του εθνικού φορέα που εκπροσωπεί τον κλάδο, το οποίο έχει υποβληθεί προς την κεντρική υπηρεσία της ΑΑΔΕ και με το οποίο ζητείται εναλλακτικός υπολογισμός του ορίου του άρθρου 3 της παρούσας για το έτος 2021 για λόγους που οφείλονται στις επιπτώσεις της πανδημίας COVID-19.</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Ο Προϊστάμενος της Δ.Ο.Υ. αφού λάβει υπόψη τα οριζόμενα στην παρ. 2 του άρθρου 4 και επιπλέον διαπιστώσει ότι:</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ο υποκείμενος στον φόρο έχει δηλώσει στο φορολογικό μητρώο ΚΑΔ (κυρίας ή δευτερεύουσας δραστηριότητας) ο οποίος περιλαμβάνεται στους οριζόμενους στην παρ. 1,</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υπάρχει μείωση του κύκλου εργασιών για σκοπούς Φ.Π.Α. με βάση τα αρχεία που υποβάλλονται και χωρίς περαιτέρω ελεγκτικές επαληθεύσεις μεταξύ των ετών 2019 - 2020,</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γ)</w:t>
      </w:r>
      <w:r>
        <w:rPr>
          <w:lang w:val="en" w:eastAsia="en"/>
        </w:rPr>
        <w:tab/>
      </w:r>
      <w:r>
        <w:rPr>
          <w:lang w:val="el" w:eastAsia="el"/>
        </w:rPr>
        <w:t>η αίτηση έχει υποβληθεί σύμφωνα με το Υπόδειγμα 10 της παρούσας και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δ)</w:t>
      </w:r>
      <w:r>
        <w:rPr>
          <w:lang w:val="en" w:eastAsia="en"/>
        </w:rPr>
        <w:tab/>
      </w:r>
      <w:r>
        <w:rPr>
          <w:lang w:val="el" w:eastAsia="el"/>
        </w:rPr>
        <w:t>έχει προηγηθεί της αίτησης το αίτημα της περ. β της παρ. 3,</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εκδίδει άμεσα απόφαση για την έγκριση του ορίου απαλλαγής σύμφωνα με τα οριζόμενα στο ανωτέρω ως το υπόδειγμα 11 της παρούσας, ή απόφαση για την απόρριψη του αιτήματος, όπως το υπόδειγμα 6. Οι αποφάσεις αυτές καταχωρούνται σε ειδικό βιβλίο Αποφάσεων.</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Υπολογισμός ορίου νέων ή μετασχηματιζόμενων δικαιούχων προσώπων</w:t>
      </w:r>
    </w:p>
    <w:p>
      <w:pPr>
        <w:pStyle w:val="MainText"/>
        <w:spacing w:before="120" w:after="0"/>
        <w:rPr>
          <w:lang w:val="el" w:eastAsia="el"/>
        </w:rPr>
      </w:pPr>
      <w:r>
        <w:rPr>
          <w:b/>
          <w:bCs/>
          <w:lang w:val="el" w:eastAsia="el"/>
        </w:rPr>
        <w:t>1.</w:t>
      </w:r>
      <w:r>
        <w:rPr>
          <w:lang w:val="el" w:eastAsia="el"/>
        </w:rPr>
        <w:t xml:space="preserve"> Για την εφαρμογή των διατάξεων της παρούσας απόφασης θεωρούνται ως νέα ή νεοσύστατα πρόσωπα, τα πρόσωπα εκείνα που υπέβαλαν δήλωση έναρξης εργασιών και δεν έχει παρέλθει, έως την υποβολή της αίτησης για τη χορήγηση ορίου απαλλαγής από το Φ.Π.Α., ένα πλήρες ημερολογιακό δωδεκάμηνο. Επίσης νέα θεωρούνται και εκείνα που έχουν υποβάλλει μεν δήλωση έναρξης εργασιών αλλά δεν έχει συμπληρωθεί ένα πλήρες ημερολογιακό δωδεκάμηνο από την πραγματοποίηση της πρώτης εξαγωγής ή ενδοκοινοτικής παράδοσης, μέχρι την τελευταία ημέρα του μήνα που προηγείται του μήνα υποβολής της αίτησης.</w:t>
      </w:r>
    </w:p>
    <w:p>
      <w:pPr>
        <w:spacing w:before="240" w:after="240"/>
        <w:rPr>
          <w:lang w:val="el" w:eastAsia="el"/>
        </w:rPr>
      </w:pPr>
      <w:r>
        <w:rPr>
          <w:lang w:val="el" w:eastAsia="el"/>
        </w:rPr>
        <w:t>Για τον προσδιορισμό, την πρώτη φορά, κατά τα ανωτέρω, του ορίου απαλλαγής, λαμβάνεται υπόψη η συνολική αξία των εξαγωγών και ενδοκοινοτικών παραδόσεων του προηγούμενου της αίτησης ημερολογιακού τριμήνου που ολοκληρώνεται την τελευταία ημέρα του μήνα που προηγείται του μήνα υποβολής της αίτησης. Το όριο αυτό ισχύει μέχρι εξαντλήσεώς του και όχι πέραν της συμπλήρωσης του πρώτου ημερολογιακού δωδεκαμήνου από την ημερομηνία έγκρισης για τη χορήγησή του.</w:t>
      </w:r>
    </w:p>
    <w:p>
      <w:pPr>
        <w:spacing w:before="240" w:after="240"/>
        <w:rPr>
          <w:lang w:val="el" w:eastAsia="el"/>
        </w:rPr>
      </w:pPr>
      <w:r>
        <w:rPr>
          <w:lang w:val="el" w:eastAsia="el"/>
        </w:rPr>
        <w:t>Εάν το όριο εξαντληθεί πριν την λήξη του χρονικού διαστήματος για το οποίο χορηγήθηκε, ο υποκείμενος έχει τη δυνατότητα να επαναλαμβάνει την διαδικασία μετά την παρέλευση τουλάχιστον ενός μηνός από την προηγούμενη αίτηση.</w:t>
      </w:r>
    </w:p>
    <w:p>
      <w:pPr>
        <w:spacing w:before="240" w:after="240"/>
        <w:rPr>
          <w:lang w:val="el" w:eastAsia="el"/>
        </w:rPr>
      </w:pPr>
      <w:r>
        <w:rPr>
          <w:lang w:val="el" w:eastAsia="el"/>
        </w:rPr>
        <w:t xml:space="preserve">Για κάθε νέα αίτηση ο υπολογισμός του χορηγούμενου ορίου ακολουθεί τον ανωτέρω κανόνα της μη υπέρβασης των εξαγωγών και ενδοκοινοτικών παραδόσεων του τριμήνου που προηγείται της αίτησης. Μετά την συμπλήρωση του πρώτου δωδεκαμήνου το όριο προσδιορίζεται σύμφωνα με τα οριζόμενα στις διατάξεις του άρθρου 3 της παρούσας. </w:t>
      </w:r>
    </w:p>
    <w:p>
      <w:pPr>
        <w:pStyle w:val="MainText"/>
        <w:spacing w:before="120" w:after="0"/>
        <w:rPr>
          <w:lang w:val="el" w:eastAsia="el"/>
        </w:rPr>
      </w:pPr>
      <w:r>
        <w:rPr>
          <w:b/>
          <w:bCs/>
          <w:lang w:val="el" w:eastAsia="el"/>
        </w:rPr>
        <w:t>2.</w:t>
      </w:r>
      <w:r>
        <w:rPr>
          <w:lang w:val="el" w:eastAsia="el"/>
        </w:rPr>
        <w:t xml:space="preserve"> Προκειμένου για δικαιούχα πρόσωπα που προέρχονται από συγχώνευση ή μετατροπή και δεν έχουν συμπληρώσει πλήρη δωδεκάμηνη χρονική περίοδο, το όριο της απαλλαγής του άρθρου 3 της παρούσας προσδιορίζεται με βάση τη συνολική αξία των εξαγωγών και ενδοκοινοτικών παραδόσεων που έχουν πραγματοποιηθεί από το πρόσωπο που προήλθε από το μετασχηματισμό, από της συστάσεως του μέχρι τον προηγούμενο μήνα της υποβολής της αίτησης, προσαυξημένης με την αξία των πράξεων αυτών που είχαν πραγματοποιηθεί από κάθε ένα από τα δικαιούχα πρόσωπα που μετατράπηκαν ή συγχωνεύθηκαν κατά το αμέσως προηγούμενο διάστημα που υπολείπεται για τη συμπλήρωση μίας πλήρους δωδεκάμηνης χρονικής περιόδου.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Τύπος και περιεχόμενο του εντύπου Ειδικού Διπλοτύπου Δελτίου Απαλλαγής από το Φ.Π.Α.</w:t>
      </w:r>
    </w:p>
    <w:p>
      <w:pPr>
        <w:spacing w:before="240" w:after="240"/>
        <w:rPr>
          <w:lang w:val="el" w:eastAsia="el"/>
        </w:rPr>
      </w:pPr>
      <w:r>
        <w:rPr>
          <w:lang w:val="el" w:eastAsia="el"/>
        </w:rPr>
        <w:t>Προκειμένου να τύχει της απαλλαγής από το Φ.Π.Α. σύμφωνα με την παρούσα ο υποκείμενος στο φόρο εκδίδει προς τον προμηθευτή του ή το Τελωνείο, κατά περίπτωση, Ειδικό Διπλότυπο Δελτίο Απαλλαγής από το Φ.Π.Α. «Ε.Δ.Δ.Α.» είτε χειρόγραφα είτε με μηχανογραφικά μέσα, ο τύπος και το περιεχόμενο του οποίου ορίζεται στο υπόδειγμα 8.</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Χρόνος και τρόπος έκδοσης του Ειδικού Διπλοτύπου Δελτίου Απαλλαγής</w:t>
      </w:r>
    </w:p>
    <w:p>
      <w:pPr>
        <w:pStyle w:val="MainText"/>
        <w:spacing w:before="120" w:after="0"/>
        <w:rPr>
          <w:lang w:val="el" w:eastAsia="el"/>
        </w:rPr>
      </w:pPr>
      <w:r>
        <w:rPr>
          <w:b/>
          <w:bCs/>
          <w:lang w:val="el" w:eastAsia="el"/>
        </w:rPr>
        <w:t>1.</w:t>
      </w:r>
      <w:r>
        <w:rPr>
          <w:lang w:val="el" w:eastAsia="el"/>
        </w:rPr>
        <w:t xml:space="preserve"> Το Ειδικό Διπλότυπο Δελτίο Απαλλαγής από το Φ.Π.Α. φέρει αλληλοδιάδοχη αρίθμηση. Παρέχεται η δυνατότητα στους υποκείμενους στο φόρο να χρησιμοποιούν περισσότερες από μία σειρές «Ε.Δ.Δ.Α.» διακριτές και με ιδιαίτερη αλληλοδιάδοχη αρίθμηση. Στην αίτηση που υποβάλλεται σύμφωνα με το άρθρο 4 της παρούσας αναγράφεται ο αριθμός των σειρών «Ε.Δ.Δ.Α.» που πρόκειται να χρησιμοποιηθούν καθώς και το διακριτικό τους.</w:t>
      </w:r>
    </w:p>
    <w:p>
      <w:pPr>
        <w:spacing w:before="240" w:after="240"/>
        <w:rPr>
          <w:lang w:val="el" w:eastAsia="el"/>
        </w:rPr>
      </w:pPr>
      <w:r>
        <w:rPr>
          <w:lang w:val="el" w:eastAsia="el"/>
        </w:rPr>
        <w:t>Το ποσό του ορίου της απαλλαγής σε κάθε σειρά κατανέμεται από τον υποκείμενο στο φόρο, ο οποίος έχει και δυνατότητα ανακατανομής του μεταξύ των σειρών για το χρονικό διάστημα που ισχύει, με την προϋπόθεση ότι το συνολικό άθροισμα των επί μέρους ποσών του ορίου απαλλαγής, που χρησιμοποιήθηκε σε όλες τις σειρές δεν θα υπερβαίνει το συνολικό όριο της απαλλαγής που εγκρίθηκε από τον Προϊστάμενο της Δ.Ο.Υ. για τη συγκεκριμένη δωδεκάμηνη χρονική περίοδο.</w:t>
      </w:r>
    </w:p>
    <w:p>
      <w:pPr>
        <w:pStyle w:val="MainText"/>
        <w:spacing w:before="120" w:after="0"/>
        <w:rPr>
          <w:lang w:val="el" w:eastAsia="el"/>
        </w:rPr>
      </w:pPr>
      <w:r>
        <w:rPr>
          <w:b/>
          <w:bCs/>
          <w:lang w:val="el" w:eastAsia="el"/>
        </w:rPr>
        <w:t>2.</w:t>
      </w:r>
      <w:r>
        <w:rPr>
          <w:lang w:val="el" w:eastAsia="el"/>
        </w:rPr>
        <w:t xml:space="preserve"> Το Ειδικό Διπλότυπο Δελτίο Απαλλαγής από το Φ.Π.Α. εκδίδεται σε δύο αντίτυπα από τον αγοραστή ή τον εισαγωγέα ή τον λήπτη υπηρεσιών, εκ των οποίων, το πρώτο αντίτυπο παραδίδεται στον προμηθευτή, εφόσον έχει συναινέσει στην πραγματοποίηση της συναλλαγής με την συγκεκριμένη διαδικασία, προκειμένου αυτός να εκδώσει το τιμολόγιο ή στο Τελωνείο Εισαγωγής προκειμένου να ολοκληρωθεί η εισαγωγή, χωρίς την επιβάρυνση της πράξης με ΦΠΑ.</w:t>
      </w:r>
    </w:p>
    <w:p>
      <w:pPr>
        <w:spacing w:before="240" w:after="240"/>
        <w:rPr>
          <w:lang w:val="el" w:eastAsia="el"/>
        </w:rPr>
      </w:pPr>
      <w:r>
        <w:rPr>
          <w:lang w:val="el" w:eastAsia="el"/>
        </w:rPr>
        <w:t>Ο προμηθευτής στα τιμολόγια, που θα εκδώσει για τις εν λόγω πράξεις, αναγράφει τους αριθμούς των σχετικών Δελτίων Απαλλαγής. Δεν παρέχεται η δυνατότητα έκδοσης τιμολογίου χωρίς επιβάρυνση με τον ΦΠΑ που αναλογεί στην συναλλαγή, χωρίς την προηγούμενη έκδοση του «Ε.Δ.Δ.Α.»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Ανάκληση χορηγηθέντος ορίου</w:t>
      </w:r>
    </w:p>
    <w:p>
      <w:pPr>
        <w:spacing w:before="240" w:after="240"/>
        <w:rPr>
          <w:lang w:val="el" w:eastAsia="el"/>
        </w:rPr>
      </w:pPr>
      <w:r>
        <w:rPr>
          <w:lang w:val="el" w:eastAsia="el"/>
        </w:rPr>
        <w:t>Εφόσον, μετά την έγκριση του ορίου απαλλαγής διαπιστώνεται είτε ότι τα δικαιούχα πρόσωπα είχαν κάνει, χρήση «Ε.Δ.Δ.Α.» χωρίς προηγούμενη έγκριση ή υπέρβαση του χορηγηθέντος ορίου, είτε η έκδοση αμετάκλητης απόφασης διοικητικού δικαστηρίου κατά τα οριζόμενα στο άρθρο 2 της παρούσας ή υπέρβαση του δωδεκαμήνου για το οποίο χορηγήθηκε το όριο, η χορηγηθείσα έγκριση ανακαλείται. Η ανάκληση πραγματοποιείται με απόφαση του προϊσταμένου της Δ.Ο.Υ., όπως ορίζεται στο υπόδειγμα 7 και καταχωρείται σε ειδικό βιβλίο αποφάσεων. Η απόφαση αυτή κοινοποιείται στον υποκείμενο σύμφωνα με τις διατάξεις του άρθρου 5 του ν. 4174/2013. Μετά την κοινοποίηση της απόφασης ανάκλησης ο υποκείμενος δεν έχει δυνατότητα χρησιμοποίησης του «Ε.Δ.Δ.Α.» μέχρι έγκρισης νέου ορίου που θα του χορηγηθεί σύμφωνα με την παρούσα.</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Λοιπές ρυθμίσεις</w:t>
      </w:r>
    </w:p>
    <w:p>
      <w:pPr>
        <w:pStyle w:val="MainText"/>
        <w:spacing w:before="120" w:after="0"/>
        <w:rPr>
          <w:lang w:val="el" w:eastAsia="el"/>
        </w:rPr>
      </w:pPr>
      <w:r>
        <w:rPr>
          <w:b/>
          <w:bCs/>
          <w:lang w:val="el" w:eastAsia="el"/>
        </w:rPr>
        <w:t>1.</w:t>
      </w:r>
      <w:r>
        <w:rPr>
          <w:lang w:val="el" w:eastAsia="el"/>
        </w:rPr>
        <w:t xml:space="preserve"> Το Ε.Δ.Δ.Α. διαφυλάσσεται και από τους δύο αντισυμβαλλόμενους για όσο χρόνο προβλέπεται από την κείμενη νομοθεσία η διαφύλαξη του σχετικού τιμολόγιου.</w:t>
      </w:r>
    </w:p>
    <w:p>
      <w:pPr>
        <w:pStyle w:val="MainText"/>
        <w:spacing w:before="120" w:after="0"/>
        <w:rPr>
          <w:lang w:val="el" w:eastAsia="el"/>
        </w:rPr>
      </w:pPr>
      <w:r>
        <w:rPr>
          <w:b/>
          <w:bCs/>
          <w:lang w:val="el" w:eastAsia="el"/>
        </w:rPr>
        <w:t>2.</w:t>
      </w:r>
      <w:r>
        <w:rPr>
          <w:lang w:val="el" w:eastAsia="el"/>
        </w:rPr>
        <w:t xml:space="preserve"> Κατά την έναρξη ισχύος της παρούσας, Ειδικά Διπλότυπα Δελτία Απαλλαγής που χρησιμοποιούνται από της επιχειρήσεις εξακολουθούν να ισχύουν έως την εξάντλησή του ορίου ή παρέλευσης του δωδεκαμήνου για το οποίο χορηγήθηκε.</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Στις περιπτώσεις στις οποίες δικαιούχα πρόσωπα, μέχρι 14.9.2017 έχουν κάνει υπέρβαση του δωδεκαμήνου για το οποίο είχε χορηγηθεί το όριο απαλλαγής, δύνανται κατ' εξαίρεση των διατάξεων των άρθρων 2, παράγραφος 2 και 8, να εφαρμόσουν τη διαδικασία της παρούσας. Απαραίτητη προϋπόθεση είναι η αξία των Ε.Δ.Δ.Α. που έχουν εκδοθεί για το διάστημα αυτό να καλύπτεται με βάση το συνολικό ποσό χωρίς ΦΠΑ των εξαγωγών και ενδοκοινοτικών παραδόσεων αγαθών του δωδεκαμήνου που προηγήθηκε της υπέρβασης.</w:t>
      </w:r>
    </w:p>
    <w:p>
      <w:pPr>
        <w:spacing w:before="240" w:after="240"/>
        <w:rPr>
          <w:lang w:val="el" w:eastAsia="el"/>
        </w:rPr>
      </w:pPr>
      <w:r>
        <w:rPr>
          <w:lang w:val="el" w:eastAsia="el"/>
        </w:rPr>
        <w:t>Στις περιπτώσεις αυτές και μόνο, το όριο που χρησιμοποιήθηκε μετά τη λήξη της δωδεκάμηνης ισχύος του Ε.Δ.Δ.Α. αφαιρείται από αυτό της επόμενης περιόδου.</w:t>
      </w:r>
    </w:p>
    <w:p>
      <w:pPr>
        <w:pStyle w:val="MainText"/>
        <w:spacing w:before="120" w:after="0"/>
        <w:rPr>
          <w:lang w:val="el" w:eastAsia="el"/>
        </w:rPr>
      </w:pPr>
      <w:r>
        <w:rPr>
          <w:b/>
          <w:bCs/>
          <w:lang w:val="el" w:eastAsia="el"/>
        </w:rPr>
        <w:t>4.</w:t>
      </w:r>
      <w:r>
        <w:rPr>
          <w:lang w:val="el" w:eastAsia="el"/>
        </w:rPr>
        <w:t xml:space="preserve"> Στις περιπτώσεις στις οποίες δικαιούχα πρόσωπα, μέχρι την έκδοση της παρούσας έχουν κάνει υπέρβαση του δωδεκαμήνου για το οποίο είχε χορηγηθεί το όριο απαλλαγής, δύνανται κατ’ εξαίρεση των διατάξεων του άρθρου 8, να εφαρμόσουν τη διαδικασία της παρούσας. Απαραίτητη προϋπόθεση είναι η αξία των Ε.Δ.Δ.Α. που έχουν εκδοθεί για το διάστημα αυτό να καλύπτεται με βάση το συνολικό ποσό χωρίς ΦΠΑ των εξαγωγών και ενδοκοινοτικών παραδόσεων αγαθών του δωδεκαμήνου που προηγήθηκε της υπέρβασης. Στις περιπτώσεις αυτές και μόνο, το όριο που χρησιμοποιήθηκε μετά τη λήξη της δωδεκάμηνης ισχύος του Ε.Δ.Δ.Α. αφαιρείται από αυτό της επόμενης περιόδου.</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Τα επισυναπτόμενα υποδείγματα αποτελούν αναπόσπαστο μέρος της παρούσας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 xml:space="preserve">Από την έναρξη ισχύος της παρούσας απόφασης, παύουν να ισχύουν οι αποφάσεις Υπουργού 1103551/8478/Α0 014/ΠΟΛ.1262/2.8.1993 (Φ.Ε.Κ 675 Α'), 1017949/693/ 165/0014/ΠΟΛ.1075/13.3.1995 (ΦΕΚ 212 Β'),1058757/2754/791/Α0014/ΠΟΛ.1155/6.6.1995 (ΦΕΚ 527 Β'), 1083791/3558/ /1071/0014/ΠΟΛ.1198/13.7.1995 (Φ.Ε.Κ. 650 Β'), 1107479/5132/1534/0014/ΠΟΛ.1272/17.10.1996 (Φ.Ε.Κ. 993 Β'), 1064690/3772/713/Α0014/ΠΟΛ.1206/31.7.2002 (Φ.Ε.Κ. 1073 Β') και 1035115/1060/ /254/Α0014/ΠΟΛ.1061/26.3.2008 (Φ.Ε.Κ. 581 Β') και η Ε.Δ.Υ.Ο. 1121689/7606/ /1303/ Α0014/ΠΟΛ.1156/18.12.2007 καθώς και την Α.Γ.Γ.Δ.Ε. ΠΟΛ.1229/20.11.2014 (ΦΕΚ 3329 Β'). </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του Αυτοτελούς Τμήματος Διοίκησης</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ΑΙΚΑΤΕΡΙΝΗ ΣΑΒΒΑΪΔΟΥ</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 xml:space="preserve">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ΠΟΛ.1142/2017 25.09.2017; Τροποποίηση Α.1221/2020 30.09.2020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ΠΟΛ.1247/2015 10.11.2015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ΠΟΛ.1247/2015 10.11.2015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ΠΟΛ.1247/2015 10.11.2015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ΠΟΛ.1247/2015 10.11.2015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ΠΟΛ.1247/2015 10.11.2015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ΠΟΛ.1247/2015 10.11.2015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ΠΟΛ.1247/2015 10.11.2015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Α.1221/2020 30.09.2020</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Α.1221/2020 30.09.2020</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Α.1221/2020 30.09.2020</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Α.1221/2020 30.09.2020</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Α.1221/2020 30.09.2020</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ΠΟΛ.1247/2015 10.11.2015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ΠΟΛ.1247/2015 10.11.2015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Α.1218/2021 29.09.2021</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Α.1218/2021 29.09.2021</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Α.1218/2021 29.09.2021</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Α.1218/2021 29.09.2021</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Α.1218/2021 29.09.2021</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Α.1218/2021 29.09.2021</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Α.1218/2021 29.09.2021</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Α.1218/2021 29.09.2021</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Α.1218/2021 29.09.2021</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Α.1218/2021 29.09.2021</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Α.1218/2021 29.09.2021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Α.1218/2021 29.09.2021</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Α.1218/2021 29.09.2021</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Α.1218/2021 29.09.2021</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Α.1218/2021 29.09.2021</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Α.1221/2020 30.09.2020</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Α.1221/2020 30.09.2020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