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ΑΔΑ: ΩΥΣΛΗ-9ΣΚ</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w:t>
      </w:r>
    </w:p>
    <w:p>
      <w:pPr>
        <w:spacing w:before="240" w:after="240"/>
        <w:rPr>
          <w:lang w:val="el" w:eastAsia="el"/>
        </w:rPr>
      </w:pPr>
      <w:r>
        <w:rPr>
          <w:b/>
          <w:bCs/>
          <w:lang w:val="el" w:eastAsia="el"/>
        </w:rPr>
        <w:t>ΕΞΑΓΩΓΩΝ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Αικ.Μελανίτου 210.69.87.407 210.69.87.408</w:t>
      </w:r>
    </w:p>
    <w:p>
      <w:pPr>
        <w:spacing w:before="240" w:after="240"/>
        <w:rPr>
          <w:lang w:val="el" w:eastAsia="el"/>
        </w:rPr>
      </w:pPr>
      <w:hyperlink r:id="rId4" w:history="1">
        <w:r>
          <w:rPr>
            <w:rStyle w:val="Hyperlink"/>
            <w:color w:val="0000EE"/>
            <w:u w:color="0000EE"/>
            <w:lang w:val="el" w:eastAsia="el"/>
          </w:rPr>
          <w:t>finexcis@otenet.gr</w:t>
        </w:r>
      </w:hyperlink>
    </w:p>
    <w:p>
      <w:pPr>
        <w:spacing w:before="240" w:after="240"/>
        <w:rPr>
          <w:lang w:val="el" w:eastAsia="el"/>
        </w:rPr>
      </w:pPr>
      <w:r>
        <w:rPr>
          <w:b/>
          <w:bCs/>
          <w:u w:val="single"/>
          <w:lang w:val="el" w:eastAsia="el"/>
        </w:rPr>
        <w:t>ΘΕΜΑ</w:t>
      </w:r>
      <w:r>
        <w:rPr>
          <w:b/>
          <w:bCs/>
          <w:lang w:val="el" w:eastAsia="el"/>
        </w:rPr>
        <w:t xml:space="preserve"> : «</w:t>
      </w:r>
      <w:r>
        <w:rPr>
          <w:lang w:val="el" w:eastAsia="el"/>
        </w:rPr>
        <w:t>Τροποποίηση της αριθμ.πρωτ. Δ.759/440/29.05.2003 (ΦΕΚ 729/Β) Α.Υ.Ο. «Διαδικασία καταβολής Φ.Π.Α. στις ενδοκοινοτικές αποκτήσεις καινούργιων θαλάσσιων μεταφορικών μέσων»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ν.2859/2000 (ΦΕΚ 248/Α) «Κύρωση Κώδικα Φ.Π.Α.» και ειδικότερα των διατάξεων των παραγράφων 2,4 και 5 του άρθρου 11 και των παραγράφων 9 και 12 του άρθρου 38 του νόμου αυτού.</w:t>
      </w:r>
    </w:p>
    <w:p>
      <w:pPr>
        <w:spacing w:before="240" w:after="240"/>
        <w:rPr>
          <w:lang w:val="el" w:eastAsia="el"/>
        </w:rPr>
      </w:pPr>
      <w:r>
        <w:rPr>
          <w:lang w:val="el" w:eastAsia="el"/>
        </w:rPr>
        <w:t>2. Την ανάγκη τροποποίησης ορισμένων άρθρων της αριθμ.πρωτ. Δ.759/440/29.05.2003 Α.Υ.Ο. «Διαδικασία καταβολής Φ.Π.Α. στις ενδοκοινοτικές αποκτήσεις καινούργιων θαλάσσιων μεταφορικών μέσων» και συγκεκριμένα των άρθρων 1 και 4 που αφορούν στον ορισμό της έννοιας των καινούργιων θαλάσσιων μεταφορικών μέσων καθώς και στον καθορισμό προθεσμίας για την υποβολή των προβλεπόμενων δικαιολογητικών εγγράφων και την τακτοποίηση των Δηλώσεων της παραγράφου 1 του άρθρου 1, που παραμένουν σε εκκρεμότητα στις τελωνειακές αρχές.</w:t>
      </w:r>
    </w:p>
    <w:p>
      <w:pPr>
        <w:spacing w:before="240" w:after="240"/>
        <w:rPr>
          <w:lang w:val="el" w:eastAsia="el"/>
        </w:rPr>
      </w:pPr>
      <w:r>
        <w:rPr>
          <w:lang w:val="el" w:eastAsia="el"/>
        </w:rPr>
        <w:t>3. Τις διατάξεις του άρθρου 90, παράγραφος 2, του Κώδικα Νομοθεσίας, για την Κυβέρνηση και τα Κυβερνητικά Όργανα, ο οποίος κυρώθηκε με το άρθρο πρώτο του Π.Δ.63/2005 «Κωδικοποίηση της νομοθεσίας για την Κυβέρνηση και τα Κυβερνητικά Όργανα (ΦΕΚ 98/Α/22.04.2005).</w:t>
      </w:r>
    </w:p>
    <w:p>
      <w:pPr>
        <w:spacing w:before="240" w:after="240"/>
        <w:rPr>
          <w:lang w:val="el" w:eastAsia="el"/>
        </w:rPr>
      </w:pPr>
      <w:r>
        <w:rPr>
          <w:lang w:val="el" w:eastAsia="el"/>
        </w:rPr>
        <w:t>4. Τα Προεδρικά Διατάγματα 185/2009 (ΦΕΚ 213/Α/7.10.2009) «Περί ανασύστασης του Υπουργείου Οικονομικών» και 189/09 «Καθορισμός και ανακατανομή αρμοδιοτήτων των Υπουργείων» (ΦΕΚ 221/Α/5.11.2009).</w:t>
      </w:r>
    </w:p>
    <w:p>
      <w:pPr>
        <w:spacing w:before="240" w:after="240"/>
        <w:rPr>
          <w:lang w:val="el" w:eastAsia="el"/>
        </w:rPr>
      </w:pPr>
      <w:r>
        <w:rPr>
          <w:lang w:val="el" w:eastAsia="el"/>
        </w:rPr>
        <w:t>5. Την αριθμ.πρωτ. Δ6Α1015213ΕΞ2013/28.01.2013 (ΦΕΚ 130/Β/28.01.2013) Κοινή Απόφαση του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6. Το γεγονός ότι από τις διατάξεις της παρούσας δεν προκύπτει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lang w:val="el" w:eastAsia="el"/>
        </w:rPr>
        <w:t>Την τροποποίηση της αριθμ.πρωτ. Δ.759/440/29.05.2003 (ΦΕΚ 729/Β) A.Υ.Ο. «Διαδικασία καταβολής Φ.Π.Α. στις ενδοκοινοτικές αποκτήσεις καινούργιων θαλάσσιων μεταφορικών μέσων», ως ακολούθως:</w:t>
      </w:r>
    </w:p>
    <w:p>
      <w:pPr>
        <w:pStyle w:val="MainText"/>
        <w:spacing w:before="120" w:after="0"/>
        <w:rPr>
          <w:lang w:val="el" w:eastAsia="el"/>
        </w:rPr>
      </w:pPr>
      <w:r>
        <w:rPr>
          <w:b/>
          <w:bCs/>
          <w:lang w:val="el" w:eastAsia="el"/>
        </w:rPr>
        <w:t>1.</w:t>
      </w:r>
      <w:r>
        <w:rPr>
          <w:lang w:val="el" w:eastAsia="el"/>
        </w:rPr>
        <w:t xml:space="preserve"> Η παράγραφος 4 του άρθρου 1 αντικαθίσταται ως ακολούθως: «Ως καινούργια θαλάσσια μεταφορικά μέσα, θεωρούνται τα σκάφη μήκους άνω των επτά και μισoύ (7,5) μέτρων, εφόσον παραδίδονται εντός τριών (3) μηνών από την πρώτη τους θέση σε κυκλοφορία ή παραδίδονται προτού το σκάφος πραγματοποιήσει εκατό (100) ώρες πλεύσης.</w:t>
      </w:r>
    </w:p>
    <w:p>
      <w:pPr>
        <w:pStyle w:val="MainText"/>
        <w:spacing w:before="120" w:after="0"/>
        <w:rPr>
          <w:lang w:val="el" w:eastAsia="el"/>
        </w:rPr>
      </w:pPr>
      <w:r>
        <w:rPr>
          <w:b/>
          <w:bCs/>
          <w:lang w:val="el" w:eastAsia="el"/>
        </w:rPr>
        <w:t>2.</w:t>
      </w:r>
      <w:r>
        <w:rPr>
          <w:lang w:val="el" w:eastAsia="el"/>
        </w:rPr>
        <w:t xml:space="preserve"> Στο τέλος του άρθρου 4 προστίθεται Ενότητα Γ ως ακολούθως:</w:t>
      </w:r>
    </w:p>
    <w:p>
      <w:pPr>
        <w:spacing w:before="240" w:after="240"/>
        <w:rPr>
          <w:lang w:val="el" w:eastAsia="el"/>
        </w:rPr>
      </w:pPr>
      <w:r>
        <w:rPr>
          <w:lang w:val="el" w:eastAsia="el"/>
        </w:rPr>
        <w:t>«</w:t>
      </w:r>
      <w:r>
        <w:rPr>
          <w:u w:val="single"/>
          <w:lang w:val="el" w:eastAsia="el"/>
        </w:rPr>
        <w:t>Γ. Προθεσμία τακτοποίησης της Δήλωσης</w:t>
      </w:r>
    </w:p>
    <w:p>
      <w:pPr>
        <w:spacing w:before="240" w:after="240"/>
        <w:rPr>
          <w:lang w:val="el" w:eastAsia="el"/>
        </w:rPr>
      </w:pPr>
      <w:r>
        <w:rPr>
          <w:lang w:val="el" w:eastAsia="el"/>
        </w:rPr>
        <w:t>Η προθεσμία για την τακτοποίηση της Δήλωσης που παραμένει σε εκκρεμότητα, ορίζεται σε δύο (2) έτη και δεκαπέντε πέντε (15) ημέρες από την ημερομηνία υποβολής αυτής στην αρμόδια τελωνειακή αρχή. Σε περίπτωση μη υποβολής των δικαιολογητικών εγγράφων για την τακτοποίηση της Δήλωσης εντός της οριζόμενης προθεσμίας, καταβάλλεται ο αναλογών Φ.Π.Α. Οι προθεσμίες των Ενοτήτων Α και Β του παρόντος άρθρου δεν δύναται να υπερβαίνουν την τεθείσα με το προηγούμενο εδάφιο προθεσμία».</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2</w:t>
      </w:r>
    </w:p>
    <w:p>
      <w:pPr>
        <w:pStyle w:val="MainText"/>
        <w:spacing w:before="120" w:after="0"/>
        <w:rPr>
          <w:lang w:val="el" w:eastAsia="el"/>
        </w:rPr>
      </w:pPr>
      <w:r>
        <w:rPr>
          <w:b/>
          <w:bCs/>
          <w:lang w:val="el" w:eastAsia="el"/>
        </w:rPr>
        <w:t>1.</w:t>
      </w:r>
      <w:r>
        <w:rPr>
          <w:lang w:val="el" w:eastAsia="el"/>
        </w:rPr>
        <w:t xml:space="preserve"> Οι Δηλώσεις της παραγράφου 1 του άρθρου 1, της αριθμ.πρωτ. Δ.759/440/29.05.2003 (ΦΕΚ 729/Β) Α.Υ.Ο, οι οποίες κατ΄ εφαρμογή του άρθρου 4 αυτής, παραμένουν κατά την έναρξη ισχύος της παρούσας σε εκκρεμότητα στις τελωνειακές αρχές, χρονικό διάστημα μεγαλύτερο των δεκαεννέα (19) μηνών ή μεγαλύτερο της κατά τα ανωτέρω τεθείσης από την παράγραφο 2 του άρθρου 1 της παρούσας προθεσμίας, οφείλουν να τακτοποιηθούν το αργότερο εντός έξι (6) μηνών από την έναρξη ισχύος της παρούσας.</w:t>
      </w:r>
    </w:p>
    <w:p>
      <w:pPr>
        <w:pStyle w:val="MainText"/>
        <w:spacing w:before="120" w:after="0"/>
        <w:rPr>
          <w:lang w:val="el" w:eastAsia="el"/>
        </w:rPr>
      </w:pPr>
      <w:r>
        <w:rPr>
          <w:b/>
          <w:bCs/>
          <w:lang w:val="el" w:eastAsia="el"/>
        </w:rPr>
        <w:t>2.</w:t>
      </w:r>
      <w:r>
        <w:rPr>
          <w:lang w:val="el" w:eastAsia="el"/>
        </w:rPr>
        <w:t xml:space="preserve"> Η προθεσμία της παραγράφου 2 του άρθρου 1 της παρούσας, ισχύει και για τις Δηλώσεις που παραμένουν κατά την έναρξη ισχύος της παρούσας σε εκκρεμότητα στις τελωνειακές αρχές, χρονικό διάστημα μικρότερο της προθεσμίας αυτής. Ο χρόνος έναρξης της προθεσμίας είναι, η ημερομηνία υποβολής της Δήλωσης στην αρμόδια τελωνειακή αρχή.</w:t>
      </w:r>
    </w:p>
    <w:p>
      <w:pPr>
        <w:pStyle w:val="MainText"/>
        <w:spacing w:before="120" w:after="0"/>
        <w:rPr>
          <w:lang w:val="el" w:eastAsia="el"/>
        </w:rPr>
      </w:pPr>
      <w:r>
        <w:rPr>
          <w:b/>
          <w:bCs/>
          <w:lang w:val="el" w:eastAsia="el"/>
        </w:rPr>
        <w:t>3.</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ΓΕΝΙΚΗ ΓΡΑΜΜΑΤΕΑΣΔΗΜΟΣΙΩΝ ΕΣΟΔΩΝ</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Ο/Η ΠΡΟΪΣΤΑΜΕΝΟΣ/Η ΑΙΚ. ΣΑΒΒΑΪΔΟΥ</w:t>
      </w:r>
    </w:p>
    <w:p>
      <w:pPr>
        <w:spacing w:before="240" w:after="240"/>
        <w:rPr>
          <w:lang w:val="el" w:eastAsia="el"/>
        </w:rPr>
      </w:pPr>
      <w:r>
        <w:rPr>
          <w:b/>
          <w:bCs/>
          <w:lang w:val="el" w:eastAsia="el"/>
        </w:rPr>
        <w:t>ΤΟΥ ΑΥΤΟΤΕΛΟΥΣ</w:t>
      </w:r>
    </w:p>
    <w:p>
      <w:pPr>
        <w:spacing w:before="240" w:after="240"/>
        <w:rPr>
          <w:lang w:val="el" w:eastAsia="el"/>
        </w:rPr>
      </w:pPr>
      <w:r>
        <w:rPr>
          <w:b/>
          <w:bCs/>
          <w:lang w:val="el" w:eastAsia="el"/>
        </w:rPr>
        <w:t>ΤΜΗΜΑΤΟΣ ΔΙΟΙΚΗΣΗΣ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