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EΞ. </w:t>
      </w:r>
      <w:r>
        <w:rPr>
          <w:b/>
          <w:bCs/>
          <w:u w:val="single"/>
          <w:lang w:val="el" w:eastAsia="el"/>
        </w:rPr>
        <w:t>ΕΠΕΙΓΟΝ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ΕΦΑΡΜΟΓΗΣ ΦΟΡΟΛΟΓΙΑΣ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ΚΕΦΑΛΑΙΟΥ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Α΄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ΑΚΙΝΗΤΗΣ ΠΕΡΙΟΥΣΙΑΣ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ΠΟΛ.: 1196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Δ/νση: Καρ. Σερβίας 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Τηλέφωνα: 210 3375890, 878, 879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E-mail: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d13.etak@yo.syzefxis.gov.gr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ΠΡΟΣ: </w:t>
      </w:r>
      <w:r>
        <w:rPr>
          <w:lang w:val="el" w:eastAsia="el"/>
        </w:rPr>
        <w:t>Ως Πίνακας Αποδεκτών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</w:t>
      </w:r>
      <w:r>
        <w:rPr>
          <w:lang w:val="el" w:eastAsia="el"/>
        </w:rPr>
        <w:t>Παράταση προθεσμίας υποβολής της δήλωσης στοιχείων ακινήτων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ΑΝΑΠΛΗΡΩΤΗΣ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περίπτωσης γ΄ της παραγράφου 3 του άρθρου 23 του ν.3427/2005 (Α΄ 312), με την οποία καθορίσθηκε η προθεσμία υποβολής της δήλωσης στοιχείων ακινήτων έτους 2015.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παραγράφου 2 του άρθρου 47 του Ν. 4331/2015 (Α΄ 69), με την οποία παρατάθηκε έως και τις 27 Ιουλίου 2015, η προθεσμία υποβολής της δήλωσης στοιχείων ακινήτων έτους 2015 της περίπτωσης γ΄ της παραγράφου 3 του άρθρου 23 του ν.3427/2005.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Τις διατάξεις της παραγράφου 3 του τέταρτου άρθρου της από 18 Ιουλίου 2015 Πράξης Νομοθετικού Περιεχομένου (Α΄ 84),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την οποία παρατάθηκε έως καιτις 26 Αυγούστου 2015, η προθεσμία υποβολής της δήλωσης στοιχείων ακινήτων έτους 2015 της περίπτωσης γ΄ της παραγράφου 3 του άρθρου 23 του ν.3427/2005.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απόφαση της Πρωθυπουργού Υ 25/31-8-2015 (Β΄ 1868) «Ανάθεση αρμοδιοτήτων στον Αναπληρωτή Υπουργό Οικονομικών Τρύφωνα Αλεξιάδη».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της παραγράφου 5 του άρθρου 22 του ν. 2020/1992 (Α΄ 34).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γεγονός ότι με την απόφαση αυτή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Ι Ζ 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Η καταληκτική προθεσμία της 30ής Ιουνίου 2015 της περίπτωσης γ΄ της παρ. 3 του άρθρου 23 του Ν. 3427/2005 (Α΄ 312), η οποία παρατάθηκε έως και τις 27 Ιουλίου 2015 με την παράγραφο 2 του άρθρου 47 του Ν. 4331/2015 (Α΄ 69) και έως και τις 26 Αυγούστου 2015 με την παράγραφο 3 του τέταρτου άρθρου της από 18 Ιουλίου 2015 Πράξης Νομοθετικού Περιεχομένου (Α΄ 84), παρατείνεται εκ νέου έως και τις 4 Σεπτεμβρίου 2015.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Στην ίδια προθεσμία υποβάλλεται η δήλωση για κάθε σύσταση, απόκτηση και κάθε άλλη μεταβολή στοιχείων ακινήτων που έλαβε χώρα από την 1η Ιανουαρίου 2015 μέχρι και την 4η Αυγούστου 2015.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Προϊστάμενος του Αυτοτελούς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Τμήματος Διοίκησης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ΑΠΟΔΕΚΤΩΝ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I. </w:t>
      </w:r>
      <w:r>
        <w:rPr>
          <w:b/>
          <w:bCs/>
          <w:lang w:val="el" w:eastAsia="el"/>
        </w:rPr>
        <w:t>ΑΠΟΔΕΚΤΕΣ ΓΙΑ ΑΜΕΣΗ ΕΝΕΡΓΕΙΑ: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Εθνικό Τυπογραφείο (για δημοσίευση στην Εφημερίδα της Κυβερνήσεως).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II. </w:t>
      </w:r>
      <w:r>
        <w:rPr>
          <w:b/>
          <w:bCs/>
          <w:u w:val="single"/>
          <w:lang w:val="el" w:eastAsia="el"/>
        </w:rPr>
        <w:t>ΑΠΟΔΕΚΤΕΣ ΓΙΑ ΕΝΕΡΓΕΙΑ:</w:t>
      </w:r>
      <w:r>
        <w:rPr>
          <w:b/>
          <w:bCs/>
          <w:lang w:val="el" w:eastAsia="el"/>
        </w:rPr>
        <w:t>(Μετά τη δημοσίευση στην Εφημερίδα της Κυβερνήσεως)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Όλες οι Δημόσιες Οικονομικές Υπηρεσίες.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Δ/νση Ηλεκτρονικής Διακυβέρνησης.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Διεύθυνση Υποστήριξης Ηλεκτρονικά Συναλλασσομένων (e-υπηρεσίες, με την παράκληση να αναρτηθεί στην ιστοσελίδα της</w:t>
      </w:r>
      <w:hyperlink r:id="rId5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 xml:space="preserve">www.publicrevenue.gr </w:t>
        </w:r>
      </w:hyperlink>
      <w:r>
        <w:rPr>
          <w:b/>
          <w:bCs/>
          <w:u w:val="single"/>
          <w:lang w:val="el" w:eastAsia="el"/>
        </w:rPr>
        <w:t>της Γ.Γ.Δ.Ε.</w:t>
      </w:r>
      <w:r>
        <w:rPr>
          <w:b/>
          <w:bCs/>
          <w:lang w:val="el" w:eastAsia="el"/>
        </w:rPr>
        <w:t>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III. </w:t>
      </w:r>
      <w:r>
        <w:rPr>
          <w:b/>
          <w:bCs/>
          <w:lang w:val="el" w:eastAsia="el"/>
        </w:rPr>
        <w:t>ΑΠΟΔΕΚΤΕΣ ΓΙΑ ΚΟΙΝΟΠΟΙΗΣΗ: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Αποδέκτες Πίνακα Α΄ (περιπτώσεις 2, 3).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Αποδέκτες Πίνακα Β΄ (περιπτώσεις 3-8).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Αποδέκτες Πίνακα Ζ΄ (περιπτώσεις 1, 2).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Αποδέκτες Πίνακα Η΄ (περιπτώσεις 1, 2, 3, 5, 6, 7, 8, 9).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Αποδέκτες Πίνακα Θ΄ (περίπτωση 3).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Αποδέκτες Πίνακα Ι΄.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Αποδέκτες Πίνακα ΚΑ΄ (περιπτώσεις 1 – 3).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IV. </w:t>
      </w:r>
      <w:r>
        <w:rPr>
          <w:b/>
          <w:bCs/>
          <w:lang w:val="el" w:eastAsia="el"/>
        </w:rPr>
        <w:t>ΕΣΩΤΕΡΙΚΗ ΔΙΑΝΟΜΗ: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Υπουργού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Γραφείο Αναπληρωτή Υπουργού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Γραφείο Γενικής Γραμματέως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Γραφείο Γενικού Διευθυντή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Γραφεία κ. κ. Γενικών Διευθυντών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Διευθύνσεις και Αυτοτελή Τμήματα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Δ/νση Εφαρμογής Φορολογίας Κεφαλαίου – Τμήματα Α΄(20), Β΄ ( 3)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13.etak@yo.syzefxis.gov.gr" TargetMode="External" /><Relationship Id="rId5" Type="http://schemas.openxmlformats.org/officeDocument/2006/relationships/hyperlink" Target="http://www.publicrevenu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