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 210-3610065, 210-3610030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ΠΟΛ. 1017/15.1.2015 (ΦΕΚ 222 Β΄/17.2.2015), ΠΟΛ. 1053/27.2.2015 (ΦΕΚ 376 Β΄/ 18.3.2015) και ΠΟΛ. 1092/17.4.2015 (ΦΕΚ 780 Β’/4.5.2015).</w:t>
      </w:r>
    </w:p>
    <w:p>
      <w:pPr>
        <w:spacing w:before="240" w:after="240"/>
        <w:rPr>
          <w:lang w:val="el" w:eastAsia="el"/>
        </w:rPr>
      </w:pPr>
      <w:r>
        <w:rPr>
          <w:lang w:val="el" w:eastAsia="el"/>
        </w:rPr>
        <w:t>3.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 1053/27.2.2015 (ΦΕΚ 376 Β΄) και ΠΟΛ. 1092/17.4.2015 (ΦΕΚ 780Β’/4.5.2015), ως ακολούθως:</w:t>
      </w:r>
    </w:p>
    <w:p>
      <w:pPr>
        <w:spacing w:before="240" w:after="240"/>
        <w:rPr>
          <w:lang w:val="el" w:eastAsia="el"/>
        </w:rPr>
      </w:pPr>
      <w:r>
        <w:rPr>
          <w:lang w:val="el" w:eastAsia="el"/>
        </w:rPr>
        <w:t>Το τελευταίο εδάφιο της παραγράφου 1 του άρθρου 4 αντικαθίσταται ως εξής: «Ειδικά για το ημερολογιακό έτος 2014, οι καταστάσεις όλων των ανωτέρω περιπτώσεων α’, β’, γ’ και δ’ υποβάλλονται μέχρι και 30/10/2015»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Ακριβές Αντίγραφο Ο Προϊστάμενος του</w:t>
      </w:r>
    </w:p>
    <w:p>
      <w:pPr>
        <w:spacing w:before="240" w:after="240"/>
        <w:rPr>
          <w:lang w:val="el" w:eastAsia="el"/>
        </w:rPr>
      </w:pPr>
      <w:r>
        <w:rPr>
          <w:lang w:val="el" w:eastAsia="el"/>
        </w:rPr>
        <w:t>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κου Αναπληρωτή Υπουργού</w:t>
      </w:r>
    </w:p>
    <w:p>
      <w:pPr>
        <w:spacing w:before="240" w:after="240"/>
        <w:rPr>
          <w:lang w:val="el" w:eastAsia="el"/>
        </w:rPr>
      </w:pPr>
      <w:r>
        <w:rPr>
          <w:lang w:val="el" w:eastAsia="el"/>
        </w:rPr>
        <w:t>Γραφείο κας Γεν. Γραμματέα Δημοσίων Εσόδων</w:t>
      </w:r>
    </w:p>
    <w:p>
      <w:pPr>
        <w:spacing w:before="240" w:after="240"/>
        <w:rPr>
          <w:lang w:val="el" w:eastAsia="el"/>
        </w:rPr>
      </w:pPr>
      <w:r>
        <w:rPr>
          <w:lang w:val="el" w:eastAsia="el"/>
        </w:rPr>
        <w:t>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Γραφείο Επικοινωνίας και Πληροφόρησης Πολιτών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