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 </w:t>
      </w:r>
      <w:r>
        <w:rPr>
          <w:b/>
          <w:bCs/>
          <w:u w:val="single"/>
          <w:lang w:val="el" w:eastAsia="el"/>
        </w:rPr>
        <w:t>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 ΚΕΦΑΛΑΙΟΥ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b/>
          <w:bCs/>
          <w:lang w:val="el" w:eastAsia="el"/>
        </w:rPr>
        <w:t>ΠΟΛ.: 1212</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3375878, 879, 890</w:t>
      </w:r>
    </w:p>
    <w:p>
      <w:pPr>
        <w:spacing w:before="240" w:after="240"/>
        <w:rPr>
          <w:lang w:val="el" w:eastAsia="el"/>
        </w:rPr>
      </w:pPr>
      <w:r>
        <w:rPr>
          <w:lang w:val="el" w:eastAsia="el"/>
        </w:rPr>
        <w:t>E-mail:</w:t>
      </w:r>
      <w:hyperlink r:id="rId5" w:history="1">
        <w:r>
          <w:rPr>
            <w:rStyle w:val="Hyperlink"/>
            <w:color w:val="0000EE"/>
            <w:u w:color="0000EE"/>
            <w:lang w:val="el" w:eastAsia="el"/>
          </w:rPr>
          <w:t>d13.etak@ yo.s yzefxis.gov.gr</w:t>
        </w:r>
      </w:hyperlink>
    </w:p>
    <w:p>
      <w:pPr>
        <w:spacing w:before="240" w:after="240"/>
        <w:rPr>
          <w:lang w:val="el" w:eastAsia="el"/>
        </w:rPr>
      </w:pPr>
      <w:r>
        <w:rPr>
          <w:b/>
          <w:bCs/>
          <w:lang w:val="el" w:eastAsia="el"/>
        </w:rPr>
        <w:t xml:space="preserve">ΘΕΜΑ: </w:t>
      </w:r>
    </w:p>
    <w:p>
      <w:pPr>
        <w:spacing w:before="240" w:after="240"/>
        <w:rPr>
          <w:lang w:val="el" w:eastAsia="el"/>
        </w:rPr>
      </w:pPr>
      <w:r>
        <w:rPr>
          <w:lang w:val="el" w:eastAsia="el"/>
        </w:rPr>
        <w:t>Ενιαίος Φόρος Ιδιοκτησίας Ακινήτων (ΕΝ.Φ.Ι.Α.): Διαδικασίαχορήγησης εκπτώσεων, μειώσεων και αναστολής πληρωμής.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4 του άρθρου 7 και της παραγράφου 5 του άρθρου 3.</w:t>
      </w:r>
    </w:p>
    <w:p>
      <w:pPr>
        <w:spacing w:before="240" w:after="240"/>
        <w:rPr>
          <w:lang w:val="el" w:eastAsia="el"/>
        </w:rPr>
      </w:pPr>
      <w:r>
        <w:rPr>
          <w:lang w:val="el" w:eastAsia="el"/>
        </w:rPr>
        <w:t>2. Τις διατάξεις του ν. 4174/2013 (ΦΕΚ 170 Α΄) και ειδικότερα των άρθρων 4, 5, 19, 23, 32, 34, 37 και 63.</w:t>
      </w:r>
    </w:p>
    <w:p>
      <w:pPr>
        <w:spacing w:before="240" w:after="240"/>
        <w:rPr>
          <w:lang w:val="el" w:eastAsia="el"/>
        </w:rPr>
      </w:pPr>
      <w:r>
        <w:rPr>
          <w:lang w:val="el" w:eastAsia="el"/>
        </w:rPr>
        <w:t>3. Τις διατάξεις του ν. 4172/2013 (ΦΕΚ 167 Α΄).</w:t>
      </w:r>
    </w:p>
    <w:p>
      <w:pPr>
        <w:spacing w:before="240" w:after="240"/>
        <w:rPr>
          <w:lang w:val="el" w:eastAsia="el"/>
        </w:rPr>
      </w:pPr>
      <w:r>
        <w:rPr>
          <w:lang w:val="el" w:eastAsia="el"/>
        </w:rPr>
        <w:t>4. Τις διατάξεις της υποπαραγράφου Ε2 της παραγράφου Ε του πρώτου άρθρου του ν. 4093/2012(ΦΕΚ 222 Α΄), όπως ισχύει, περί σύστασης θέσης Γενικού Γραμματέα Δημοσίων Εσόδων.</w:t>
      </w:r>
    </w:p>
    <w:p>
      <w:pPr>
        <w:spacing w:before="240" w:after="240"/>
        <w:rPr>
          <w:lang w:val="el" w:eastAsia="el"/>
        </w:rPr>
      </w:pPr>
      <w:r>
        <w:rPr>
          <w:lang w:val="el" w:eastAsia="el"/>
        </w:rPr>
        <w:t>5.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ΠΟΛ 1250/2014 απόφαση της Γενικής Γραμματέως Δημοσίων Εσόδων (ΦΕΚ 3411 B΄).</w:t>
      </w:r>
    </w:p>
    <w:p>
      <w:pPr>
        <w:spacing w:before="240" w:after="240"/>
        <w:rPr>
          <w:lang w:val="el" w:eastAsia="el"/>
        </w:rPr>
      </w:pPr>
      <w:r>
        <w:rPr>
          <w:lang w:val="el" w:eastAsia="el"/>
        </w:rPr>
        <w:t>7. Την ΠΟΛ 1163/2015 απόφαση της Γενικής Γραμματέως Δημοσίων Εσόδων (ΦΕΚ 1711 Β΄).</w:t>
      </w:r>
    </w:p>
    <w:p>
      <w:pPr>
        <w:spacing w:before="240" w:after="240"/>
        <w:rPr>
          <w:lang w:val="el" w:eastAsia="el"/>
        </w:rPr>
      </w:pPr>
      <w:r>
        <w:rPr>
          <w:lang w:val="el" w:eastAsia="el"/>
        </w:rPr>
        <w:t>8.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 χορήγηση έκπτωσης ή μείωσης</w:t>
      </w:r>
    </w:p>
    <w:p>
      <w:pPr>
        <w:pStyle w:val="MainText"/>
        <w:spacing w:before="120" w:after="0"/>
        <w:rPr>
          <w:lang w:val="el" w:eastAsia="el"/>
        </w:rPr>
      </w:pPr>
      <w:r>
        <w:rPr>
          <w:b/>
          <w:bCs/>
          <w:lang w:val="el" w:eastAsia="el"/>
        </w:rPr>
        <w:t>1.</w:t>
      </w:r>
      <w:r>
        <w:rPr>
          <w:lang w:val="el" w:eastAsia="el"/>
        </w:rPr>
        <w:t xml:space="preserve"> Η χορήγηση έκπτωσης ή μείωσης του ΕΝ.Φ.Ι.Α. σύμφωνα με τις διατάξεις των παραγράφων 1 και 2 του άρθρου 7 και της παραγράφου 5 του άρθρου 3 του ν. 4223/2013, πραγματοποιείται κεντρικά από τη Διεύθυνση Ηλεκτρονικής Διακυβέρνησης (Δ.ΗΛΕ.Δ.) της Γενικής Γραμματείας Δημοσίων Εσόδων. Η έκπτωση των διατάξεων των παραγράφων 1 και 2 του άρθρου 7 του ν. 4223/2013 χορηγείται με αιτιολογημένη απόφαση της Φορολογικής Διοίκησης, σύμφωνα με το συνημμένο στο παράρτημα υπόδειγμα.</w:t>
      </w:r>
    </w:p>
    <w:p>
      <w:pPr>
        <w:pStyle w:val="MainText"/>
        <w:spacing w:before="120" w:after="0"/>
        <w:rPr>
          <w:lang w:val="el" w:eastAsia="el"/>
        </w:rPr>
      </w:pPr>
      <w:r>
        <w:rPr>
          <w:b/>
          <w:bCs/>
          <w:lang w:val="el" w:eastAsia="el"/>
        </w:rPr>
        <w:t>2.</w:t>
      </w:r>
      <w:r>
        <w:rPr>
          <w:lang w:val="el" w:eastAsia="el"/>
        </w:rPr>
        <w:t xml:space="preserve"> Στις περιπτώσεις στις οποίες δεν είναι δυνατή η χορήγηση της έκπτωσης ή μείωσης σύμφωνα με την προηγούμενη παράγραφο, χορηγείται με αιτιολογημένη απόφαση του αρμοδίου προϊσταμένου Δ.Ο.Υ., σύμφωνα με την οριζόμενη διαδικασία στην ΠΟΛ 1163/2015 απόφαση της Γενικής Γραμματέως Δημοσίων Εσόδων.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χορήγησης έκπτωσης</w:t>
      </w:r>
    </w:p>
    <w:p>
      <w:pPr>
        <w:spacing w:before="240" w:after="240"/>
        <w:rPr>
          <w:lang w:val="el" w:eastAsia="el"/>
        </w:rPr>
      </w:pPr>
      <w:r>
        <w:rPr>
          <w:b/>
          <w:bCs/>
          <w:lang w:val="el" w:eastAsia="el"/>
        </w:rPr>
        <w:t xml:space="preserve">Α.1. </w:t>
      </w:r>
      <w:r>
        <w:rPr>
          <w:lang w:val="el" w:eastAsia="el"/>
        </w:rPr>
        <w:t>Ως συνολικό φορολογητέο οικογενειακό εισόδημα θεωρείται το άθροισμα του συνολικού φορολογητέου εισοδήματος του συζύγου, της συζύγου και των ανήλικων εξαρτώμενων τέκνων, σε όσες περιπτώσεις ορίζεται από το νόμο ότι τα εισοδήματα των τέκνων συναθροίζονται με αυτά των γονέων, καθώς και του συνολικού φορολογητέου εισοδήματος των εξαρτώμενων τέκνων που έχουν υποβάλει ατομική δήλωση φορολογίας εισοδήματος.</w:t>
      </w:r>
    </w:p>
    <w:p>
      <w:pPr>
        <w:spacing w:before="240" w:after="240"/>
        <w:rPr>
          <w:lang w:val="el" w:eastAsia="el"/>
        </w:rPr>
      </w:pPr>
      <w:r>
        <w:rPr>
          <w:lang w:val="el" w:eastAsia="el"/>
        </w:rPr>
        <w:t>Το συνολικό φορολογητέο οικογενειακό εισόδημα και ο αριθμός των εξαρτώμενων τέκνων λαμβάνονται από τις δηλώσεις φορολογίας εισοδήματος του οικείου φορολογικού έτους, οι οποίες έχουν υποβληθεί μέχρι και την 9</w:t>
      </w:r>
      <w:r>
        <w:rPr>
          <w:sz w:val="30"/>
          <w:szCs w:val="30"/>
          <w:vertAlign w:val="superscript"/>
          <w:lang w:val="el" w:eastAsia="el"/>
        </w:rPr>
        <w:t xml:space="preserve">η </w:t>
      </w:r>
      <w:r>
        <w:rPr>
          <w:lang w:val="el" w:eastAsia="el"/>
        </w:rPr>
        <w:t>Οκτωβρίου 2015.</w:t>
      </w:r>
    </w:p>
    <w:p>
      <w:pPr>
        <w:spacing w:before="240" w:after="240"/>
        <w:rPr>
          <w:lang w:val="el" w:eastAsia="el"/>
        </w:rPr>
      </w:pPr>
      <w:r>
        <w:rPr>
          <w:lang w:val="el" w:eastAsia="el"/>
        </w:rPr>
        <w:t>Το συνολικό φορολογητέο εισόδημα προσδιορίζεται από το άθροισμα του καθαρού εισοδήματος, όπως προκύπτει από τα ποσά των κωδικών του Πίνακα 4 της δήλωσης φορολογίας εισοδήματος του οικείου φορολογικού έτους, τα οποία λαμβάνονται υπόψη για τον προσδιορισμό του εισοδήματος, των ποσών των κωδικών των περιπτώσεων 2, 3, 4, 5, 8, 9, 10 και 11 του Πίνακα 6 της δήλωσης και του ποσού της προστιθέμενης διαφοράς αντικειμενικής δαπάνης, όπου αυτή εφαρμόζεται.</w:t>
      </w:r>
    </w:p>
    <w:p>
      <w:pPr>
        <w:pStyle w:val="MainText"/>
        <w:spacing w:before="120" w:after="0"/>
        <w:rPr>
          <w:lang w:val="el" w:eastAsia="el"/>
        </w:rPr>
      </w:pPr>
      <w:r>
        <w:rPr>
          <w:b/>
          <w:bCs/>
          <w:lang w:val="el" w:eastAsia="el"/>
        </w:rPr>
        <w:t>2.</w:t>
      </w:r>
      <w:r>
        <w:rPr>
          <w:lang w:val="el" w:eastAsia="el"/>
        </w:rPr>
        <w:t xml:space="preserve"> Η συνολική επιφάνεια των κτισμάτων, αποτελούμενη από το άθροισμα των κύριων και βοηθητικών χώρων των κατηγοριών ακινήτων 1 έως και 12 (εκτός 4, 41 έως και 47), αποπερατωμένων και ημιτελών, καθώς και η συνολική αξία της ακίνητης περιουσίας, όπως αυτή προσδιορίζεται για τον υπολογισμό του συμπληρωματικού φόρου, λαμβάνεται από τις δηλώσεις ΕΝ.Φ.Ι.Α. του οικείου έτους, οι οποίες έχουν υποβληθεί μέχρι και την 9</w:t>
      </w:r>
      <w:r>
        <w:rPr>
          <w:sz w:val="30"/>
          <w:szCs w:val="30"/>
          <w:vertAlign w:val="superscript"/>
          <w:lang w:val="el" w:eastAsia="el"/>
        </w:rPr>
        <w:t xml:space="preserve">η </w:t>
      </w:r>
      <w:r>
        <w:rPr>
          <w:lang w:val="el" w:eastAsia="el"/>
        </w:rPr>
        <w:t>Οκτωβρίου 2015, λαμβανομένου υπόψη του ποσοστού συνιδιοκτησίας και του είδους του δικαιώματος επί των ακινήτων.</w:t>
      </w:r>
    </w:p>
    <w:p>
      <w:pPr>
        <w:pStyle w:val="MainText"/>
        <w:spacing w:before="120" w:after="0"/>
        <w:rPr>
          <w:lang w:val="el" w:eastAsia="el"/>
        </w:rPr>
      </w:pPr>
      <w:r>
        <w:rPr>
          <w:b/>
          <w:bCs/>
          <w:lang w:val="el" w:eastAsia="el"/>
        </w:rPr>
        <w:t>3.</w:t>
      </w:r>
      <w:r>
        <w:rPr>
          <w:lang w:val="el" w:eastAsia="el"/>
        </w:rPr>
        <w:t xml:space="preserve"> Η αναπηρία του υπόχρεου και της συζύγου λαμβάνεται από τη δήλωση φορολογίας εισοδήματος του οικείου φορολογικού έτους ή από τα αρχεία των Κέντρων Πιστοποίησης Αναπηρίας (ΚΕ.Π.Α.).</w:t>
      </w:r>
    </w:p>
    <w:p>
      <w:pPr>
        <w:spacing w:before="240" w:after="240"/>
        <w:rPr>
          <w:lang w:val="el" w:eastAsia="el"/>
        </w:rPr>
      </w:pPr>
      <w:r>
        <w:rPr>
          <w:lang w:val="el" w:eastAsia="el"/>
        </w:rPr>
        <w:t>Η αναπηρία των τέκνων, λαμβάνεται από την Εφαρμογή των Δ.Ο.Υ. «Καταχώρηση Αναπηριών» ή από τα αρχεία των ΚΕ.Π.Α. ή, εφόσον το τέκνο υποβάλει δήλωση φορολογίας εισοδήματος, από τη δήλωση φορολογίας εισοδήματος του οικείου φορολογικού έτους.</w:t>
      </w:r>
    </w:p>
    <w:p>
      <w:pPr>
        <w:spacing w:before="240" w:after="240"/>
        <w:rPr>
          <w:lang w:val="el" w:eastAsia="el"/>
        </w:rPr>
      </w:pPr>
      <w:r>
        <w:rPr>
          <w:lang w:val="el" w:eastAsia="el"/>
        </w:rPr>
        <w:t>Στις περιπτώσεις κατά τις οποίες η μείωση χορηγείται με υπόδειγμα από τη Δ.Ο.Υ., απαιτείται, πριν τη χορήγηση της έκπτωσης, η καταχώρηση της πληροφορίας για την αναπηρία στην εφαρμογή «Καταχώρηση Αναπηριών» των Δ.Ο.Υ..</w:t>
      </w:r>
    </w:p>
    <w:p>
      <w:pPr>
        <w:spacing w:before="240" w:after="240"/>
        <w:rPr>
          <w:lang w:val="el" w:eastAsia="el"/>
        </w:rPr>
      </w:pPr>
      <w:r>
        <w:rPr>
          <w:lang w:val="el" w:eastAsia="el"/>
        </w:rPr>
        <w:t>Για την πιστοποίηση της αναπηρίας εφαρμόζονται τα οριζόμενα στην απόφαση της Γενικής Γραμματέως Δημοσίων Εσόδων ΠΟΛ 1088/2015 (ΦΕΚ 763 Β΄), όπως τροποποιήθηκε με την απόφαση ΠΟΛ 1132/2015 (ΦΕΚ 1286 Β΄) και ισχύει.</w:t>
      </w:r>
    </w:p>
    <w:p>
      <w:pPr>
        <w:spacing w:before="240" w:after="240"/>
        <w:rPr>
          <w:lang w:val="el" w:eastAsia="el"/>
        </w:rPr>
      </w:pPr>
      <w:r>
        <w:rPr>
          <w:b/>
          <w:bCs/>
          <w:lang w:val="el" w:eastAsia="el"/>
        </w:rPr>
        <w:t xml:space="preserve">Β. </w:t>
      </w:r>
      <w:r>
        <w:rPr>
          <w:lang w:val="el" w:eastAsia="el"/>
        </w:rPr>
        <w:t>Οι παροχές ηλεκτρικού ρεύματος, οι οποίες δεν ήταν ενεργές καθ’ όλη τη διάρκεια του προηγούμενου έτους, λαμβάνονται από τα αρχεία του Δ.Ε.Δ.Δ.Η.Ε.. Οι αριθμοί των παροχών του αρχείου του Δ.Ε.Δ.Δ.Η.Ε. διασταυρώνονται με τους αριθμούς παροχής ηλεκτρικού ρεύματος, οι οποίοι αναγράφονται στη δήλωση στοιχείων ακινήτων (έντυπο Ε9) του οικείου έτους, και στην αναλυτική κατάσταση μισθωμάτων ακινήτων (έντυπο Ε2) του οικείου φορολογικού έτους, που έχουν υποβληθεί μέχρι και την 9</w:t>
      </w:r>
      <w:r>
        <w:rPr>
          <w:sz w:val="30"/>
          <w:szCs w:val="30"/>
          <w:vertAlign w:val="superscript"/>
          <w:lang w:val="el" w:eastAsia="el"/>
        </w:rPr>
        <w:t>η</w:t>
      </w:r>
      <w:r>
        <w:rPr>
          <w:lang w:val="el" w:eastAsia="el"/>
        </w:rPr>
        <w:t xml:space="preserve"> Οκτωβρίου 2015.</w:t>
      </w:r>
    </w:p>
    <w:p>
      <w:pPr>
        <w:spacing w:before="240" w:after="240"/>
        <w:rPr>
          <w:lang w:val="el" w:eastAsia="el"/>
        </w:rPr>
      </w:pPr>
      <w:r>
        <w:rPr>
          <w:lang w:val="el" w:eastAsia="el"/>
        </w:rPr>
        <w:t>Η πληροφορία του κενού ακινήτου, καθ’ όλη τη διάρκεια του προηγούμενου έτους, λαμβάνεται από την αναλυτική κατάσταση μισθωμάτων ακινήτων (έντυπο Ε2) του οικείου φορολογικού έτους, η οποία έχει υποβληθεί μέχρι και την 9</w:t>
      </w:r>
      <w:r>
        <w:rPr>
          <w:sz w:val="30"/>
          <w:szCs w:val="30"/>
          <w:vertAlign w:val="superscript"/>
          <w:lang w:val="el" w:eastAsia="el"/>
        </w:rPr>
        <w:t>η</w:t>
      </w:r>
      <w:r>
        <w:rPr>
          <w:lang w:val="el" w:eastAsia="el"/>
        </w:rPr>
        <w:t xml:space="preserve"> Οκτωβρίου 2015.</w:t>
      </w:r>
    </w:p>
    <w:p>
      <w:pPr>
        <w:spacing w:before="240" w:after="240"/>
        <w:rPr>
          <w:lang w:val="el" w:eastAsia="el"/>
        </w:rPr>
      </w:pPr>
      <w:r>
        <w:rPr>
          <w:lang w:val="el" w:eastAsia="el"/>
        </w:rPr>
        <w:t>Δεν προσκομίζονται παραστατικά για το ποσοστό της χορηγηθείσας μείωσης ΕΝΦΙΑ, όταν αυτή έχει χορηγηθεί κεντρικά από τη Δ.ΗΛΕ.Δ..</w:t>
      </w:r>
    </w:p>
    <w:p>
      <w:pPr>
        <w:spacing w:before="240" w:after="240"/>
        <w:rPr>
          <w:lang w:val="el" w:eastAsia="el"/>
        </w:rPr>
      </w:pPr>
      <w:r>
        <w:rPr>
          <w:b/>
          <w:bCs/>
          <w:lang w:val="el" w:eastAsia="el"/>
        </w:rPr>
        <w:t xml:space="preserve">Γ.1. </w:t>
      </w:r>
      <w:r>
        <w:rPr>
          <w:lang w:val="el" w:eastAsia="el"/>
        </w:rPr>
        <w:t>Όπου στο άρθρο αυτό αναφέρεται το οικείο φορολογικό έτος, εννοείται το προηγούμενο του έτους για το οποίο εκδίδεται η δήλωση ΕΝ.Φ.Ι.Α.-πράξη διοικητικού προσδιορισμού φόρου.</w:t>
      </w:r>
    </w:p>
    <w:p>
      <w:pPr>
        <w:pStyle w:val="MainText"/>
        <w:spacing w:before="120" w:after="0"/>
        <w:rPr>
          <w:lang w:val="el" w:eastAsia="el"/>
        </w:rPr>
      </w:pPr>
      <w:r>
        <w:rPr>
          <w:b/>
          <w:bCs/>
          <w:lang w:val="el" w:eastAsia="el"/>
        </w:rPr>
        <w:t>2.</w:t>
      </w:r>
      <w:r>
        <w:rPr>
          <w:lang w:val="el" w:eastAsia="el"/>
        </w:rPr>
        <w:t xml:space="preserve"> Για τη χορήγηση της έκπτωσης ή μείωσης κατά τα ανωτέρω ο φορολογούμενος πρέπει να είναι φορολογικός κάτοικος Ελλάδας την 1η Ιανουαρίου του έτους φορολογίας.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Χορήγηση αναστολής πληρωμής του ΕΝ.Φ.Ι.Α. σε νομικά πρόσωπα</w:t>
      </w:r>
    </w:p>
    <w:p>
      <w:pPr>
        <w:spacing w:before="240" w:after="240"/>
        <w:rPr>
          <w:lang w:val="el" w:eastAsia="el"/>
        </w:rPr>
      </w:pPr>
      <w:r>
        <w:rPr>
          <w:lang w:val="el" w:eastAsia="el"/>
        </w:rPr>
        <w:t>Η χορήγηση αναστολής πληρωμής του ΕΝ.Φ.Ι.Α. σε νομικά πρόσωπα, σύμφωνα με τις διατάξεις της παραγράφου 3 του άρθρου 7 του ν. 4223/2013, πραγματοποιείται σύμφωνα με τα οριζόμενα στην ΠΟΛ. 1250/2014 απόφαση της Γενικής Γραμματέως Δημοσίων Εσόδων. Η αίτηση δύναται να υποβληθεί μέχρι και την τελευταία εργάσιμη, για τις δημόσιες υπηρεσίες, ημέρα του Δεκεμβρίου του οικείου έτους.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Στην παρούσα απόφαση επισυνάπτεται, ως παράρτημα, ένα (1) υπόδειγμα απόφασης, το οποίο αποτελεί αναπόσπαστο τμήμα αυτής.</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Κυβερνήσεως.</w:t>
      </w:r>
    </w:p>
    <w:p>
      <w:pPr>
        <w:spacing w:before="240" w:after="240"/>
        <w:rPr>
          <w:lang w:val="el" w:eastAsia="el"/>
        </w:rPr>
      </w:pPr>
      <w:r>
        <w:rPr>
          <w:b/>
          <w:bCs/>
          <w:lang w:val="el" w:eastAsia="el"/>
        </w:rPr>
        <w:t>Η ΓΕΝΙΚΗ ΓΡΑΜΜΑΤΕΑΣ ΔΗΜΟΣΙΩΝ ΕΣΟΔΩΝ Ακριβές Αντίγραφο ΑΙΚΑΤΕΡΙΝΗ ΣΑΒΒΑΪΔΟΥ</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lang w:val="el" w:eastAsia="el"/>
        </w:rPr>
        <w:t>Τμήματος Διοίκησης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ΑΜΕΣΗ ΕΝΕΡΓΕΙΑ</w:t>
      </w:r>
    </w:p>
    <w:p>
      <w:pPr>
        <w:spacing w:before="240" w:after="240"/>
        <w:rPr>
          <w:lang w:val="el" w:eastAsia="el"/>
        </w:rPr>
      </w:pPr>
      <w:r>
        <w:rPr>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II. </w:t>
      </w:r>
      <w:r>
        <w:rPr>
          <w:b/>
          <w:bCs/>
          <w:u w:val="single"/>
          <w:lang w:val="el" w:eastAsia="el"/>
        </w:rPr>
        <w:t>ΑΠΟΔΕΚΤΕΣ ΓΙΑ ΕΝΕΡΓΕΙΑ</w:t>
      </w:r>
      <w:r>
        <w:rPr>
          <w:b/>
          <w:bCs/>
          <w:lang w:val="el" w:eastAsia="el"/>
        </w:rPr>
        <w:t xml:space="preserve"> (Μετά τη δημοσίευση στην Εφημερίδα της Κυβερνήσεως)</w:t>
      </w:r>
    </w:p>
    <w:p>
      <w:pPr>
        <w:pStyle w:val="MainText"/>
        <w:spacing w:before="120" w:after="0"/>
        <w:rPr>
          <w:lang w:val="el" w:eastAsia="el"/>
        </w:rPr>
      </w:pPr>
      <w:r>
        <w:rPr>
          <w:b/>
          <w:bCs/>
          <w:lang w:val="el" w:eastAsia="el"/>
        </w:rPr>
        <w:t>1.</w:t>
      </w:r>
      <w:r>
        <w:rPr>
          <w:lang w:val="el" w:eastAsia="el"/>
        </w:rPr>
        <w:t xml:space="preserve"> Όλες οι Δημόσιες Οικονομικές Υπηρεσίες.</w:t>
      </w:r>
    </w:p>
    <w:p>
      <w:pPr>
        <w:pStyle w:val="MainText"/>
        <w:spacing w:before="120" w:after="0"/>
        <w:rPr>
          <w:lang w:val="el" w:eastAsia="el"/>
        </w:rPr>
      </w:pPr>
      <w:r>
        <w:rPr>
          <w:b/>
          <w:bCs/>
          <w:lang w:val="el" w:eastAsia="el"/>
        </w:rPr>
        <w:t>2.</w:t>
      </w:r>
      <w:r>
        <w:rPr>
          <w:lang w:val="el" w:eastAsia="el"/>
        </w:rPr>
        <w:t xml:space="preserve"> Δ/νση Ηλεκτρονικής Διακυβέρνησης</w:t>
      </w:r>
    </w:p>
    <w:p>
      <w:pPr>
        <w:pStyle w:val="MainText"/>
        <w:spacing w:before="120" w:after="0"/>
        <w:rPr>
          <w:lang w:val="el" w:eastAsia="el"/>
        </w:rPr>
      </w:pPr>
      <w:r>
        <w:rPr>
          <w:b/>
          <w:bCs/>
          <w:lang w:val="el" w:eastAsia="el"/>
        </w:rPr>
        <w:t>3.</w:t>
      </w:r>
      <w:r>
        <w:rPr>
          <w:lang w:val="el" w:eastAsia="el"/>
        </w:rPr>
        <w:t xml:space="preserve"> Διεύθυνση Υποστήριξης Ηλεκτρονικά Συναλλασσομένων (e-υπηρεσίες, με την παράκληση να αναρτηθεί στην ιστοσελίδα</w:t>
      </w:r>
      <w:hyperlink r:id="rId6"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lang w:val="el" w:eastAsia="el"/>
        </w:rPr>
        <w:t xml:space="preserve">III.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(περιπτώσεις 2, 3)</w:t>
      </w:r>
    </w:p>
    <w:p>
      <w:pPr>
        <w:pStyle w:val="MainText"/>
        <w:spacing w:before="120" w:after="0"/>
        <w:rPr>
          <w:lang w:val="el" w:eastAsia="el"/>
        </w:rPr>
      </w:pPr>
      <w:r>
        <w:rPr>
          <w:b/>
          <w:bCs/>
          <w:lang w:val="el" w:eastAsia="el"/>
        </w:rPr>
        <w:t>2.</w:t>
      </w:r>
      <w:r>
        <w:rPr>
          <w:lang w:val="el" w:eastAsia="el"/>
        </w:rPr>
        <w:t xml:space="preserve"> Αποδέκτες Πίνακα Β΄ (περιπτώσεις 3-8)</w:t>
      </w:r>
    </w:p>
    <w:p>
      <w:pPr>
        <w:pStyle w:val="MainText"/>
        <w:spacing w:before="120" w:after="0"/>
        <w:rPr>
          <w:lang w:val="el" w:eastAsia="el"/>
        </w:rPr>
      </w:pPr>
      <w:r>
        <w:rPr>
          <w:b/>
          <w:bCs/>
          <w:lang w:val="el" w:eastAsia="el"/>
        </w:rPr>
        <w:t>3.</w:t>
      </w:r>
      <w:r>
        <w:rPr>
          <w:lang w:val="el" w:eastAsia="el"/>
        </w:rPr>
        <w:t xml:space="preserve"> Αποδέκτες Πίνακα Ζ΄ (περιπτώσεις 1, 2)</w:t>
      </w:r>
    </w:p>
    <w:p>
      <w:pPr>
        <w:pStyle w:val="MainText"/>
        <w:spacing w:before="120" w:after="0"/>
        <w:rPr>
          <w:lang w:val="el" w:eastAsia="el"/>
        </w:rPr>
      </w:pPr>
      <w:r>
        <w:rPr>
          <w:b/>
          <w:bCs/>
          <w:lang w:val="el" w:eastAsia="el"/>
        </w:rPr>
        <w:t>4.</w:t>
      </w:r>
      <w:r>
        <w:rPr>
          <w:lang w:val="el" w:eastAsia="el"/>
        </w:rPr>
        <w:t xml:space="preserve"> Αποδέκτες Πίνακα Η΄ (περιπτώσεις 1, 2, 3, 5, 6, 7, 8, 9)</w:t>
      </w:r>
    </w:p>
    <w:p>
      <w:pPr>
        <w:pStyle w:val="MainText"/>
        <w:spacing w:before="120" w:after="0"/>
        <w:rPr>
          <w:lang w:val="el" w:eastAsia="el"/>
        </w:rPr>
      </w:pPr>
      <w:r>
        <w:rPr>
          <w:b/>
          <w:bCs/>
          <w:lang w:val="el" w:eastAsia="el"/>
        </w:rPr>
        <w:t>5.</w:t>
      </w:r>
      <w:r>
        <w:rPr>
          <w:lang w:val="el" w:eastAsia="el"/>
        </w:rPr>
        <w:t xml:space="preserve"> Αποδέκτες Πίνακα Θ΄ (περίπτωση 3)</w:t>
      </w:r>
    </w:p>
    <w:p>
      <w:pPr>
        <w:pStyle w:val="MainText"/>
        <w:spacing w:before="120" w:after="0"/>
        <w:rPr>
          <w:lang w:val="el" w:eastAsia="el"/>
        </w:rPr>
      </w:pPr>
      <w:r>
        <w:rPr>
          <w:b/>
          <w:bCs/>
          <w:lang w:val="el" w:eastAsia="el"/>
        </w:rPr>
        <w:t>6.</w:t>
      </w:r>
      <w:r>
        <w:rPr>
          <w:lang w:val="el" w:eastAsia="el"/>
        </w:rPr>
        <w:t xml:space="preserve"> Αποδέκτες Πίνακα Ι΄</w:t>
      </w:r>
    </w:p>
    <w:p>
      <w:pPr>
        <w:pStyle w:val="MainText"/>
        <w:spacing w:before="120" w:after="0"/>
        <w:rPr>
          <w:lang w:val="el" w:eastAsia="el"/>
        </w:rPr>
      </w:pPr>
      <w:r>
        <w:rPr>
          <w:b/>
          <w:bCs/>
          <w:lang w:val="el" w:eastAsia="el"/>
        </w:rPr>
        <w:t>7.</w:t>
      </w:r>
      <w:r>
        <w:rPr>
          <w:lang w:val="el" w:eastAsia="el"/>
        </w:rPr>
        <w:t xml:space="preserve"> Αποδέκτες Πίνακα ΚΑ΄ (περιπτώσεις 1 – 3)</w:t>
      </w:r>
    </w:p>
    <w:p>
      <w:pPr>
        <w:spacing w:before="240" w:after="240"/>
        <w:rPr>
          <w:lang w:val="el" w:eastAsia="el"/>
        </w:rPr>
      </w:pPr>
      <w:r>
        <w:rPr>
          <w:lang w:val="el" w:eastAsia="el"/>
        </w:rPr>
        <w:t xml:space="preserve">IV.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Αναπληρωτή Υπουργού</w:t>
      </w:r>
    </w:p>
    <w:p>
      <w:pPr>
        <w:pStyle w:val="MainText"/>
        <w:spacing w:before="120" w:after="0"/>
        <w:rPr>
          <w:lang w:val="el" w:eastAsia="el"/>
        </w:rPr>
      </w:pPr>
      <w:r>
        <w:rPr>
          <w:b/>
          <w:bCs/>
          <w:lang w:val="el" w:eastAsia="el"/>
        </w:rPr>
        <w:t>3.</w:t>
      </w:r>
      <w:r>
        <w:rPr>
          <w:lang w:val="el" w:eastAsia="el"/>
        </w:rPr>
        <w:t xml:space="preserve"> Γραφείο Γενικής Γραμματέως Δημοσίων Εσόδων</w:t>
      </w:r>
    </w:p>
    <w:p>
      <w:pPr>
        <w:pStyle w:val="MainText"/>
        <w:spacing w:before="120" w:after="0"/>
        <w:rPr>
          <w:lang w:val="el" w:eastAsia="el"/>
        </w:rPr>
      </w:pPr>
      <w:r>
        <w:rPr>
          <w:b/>
          <w:bCs/>
          <w:lang w:val="el" w:eastAsia="el"/>
        </w:rPr>
        <w:t>4.</w:t>
      </w:r>
      <w:r>
        <w:rPr>
          <w:lang w:val="el" w:eastAsia="el"/>
        </w:rPr>
        <w:t xml:space="preserve"> Γραφείο Γενικού Διευθυντή Φορολογικής Διοίκησης</w:t>
      </w:r>
    </w:p>
    <w:p>
      <w:pPr>
        <w:pStyle w:val="MainText"/>
        <w:spacing w:before="120" w:after="0"/>
        <w:rPr>
          <w:lang w:val="el" w:eastAsia="el"/>
        </w:rPr>
      </w:pPr>
      <w:r>
        <w:rPr>
          <w:b/>
          <w:bCs/>
          <w:lang w:val="el" w:eastAsia="el"/>
        </w:rPr>
        <w:t>5.</w:t>
      </w:r>
      <w:r>
        <w:rPr>
          <w:lang w:val="el" w:eastAsia="el"/>
        </w:rPr>
        <w:t xml:space="preserve"> Γραφεία Γενικών Διευθυντών</w:t>
      </w:r>
    </w:p>
    <w:p>
      <w:pPr>
        <w:pStyle w:val="MainText"/>
        <w:spacing w:before="120" w:after="0"/>
        <w:rPr>
          <w:lang w:val="el" w:eastAsia="el"/>
        </w:rPr>
      </w:pPr>
      <w:r>
        <w:rPr>
          <w:b/>
          <w:bCs/>
          <w:lang w:val="el" w:eastAsia="el"/>
        </w:rPr>
        <w:t>6.</w:t>
      </w:r>
      <w:r>
        <w:rPr>
          <w:lang w:val="el" w:eastAsia="el"/>
        </w:rPr>
        <w:t xml:space="preserve"> Διευθύνσεις και Αυτοτελή Τμήματα</w:t>
      </w:r>
    </w:p>
    <w:p>
      <w:pPr>
        <w:pStyle w:val="MainText"/>
        <w:spacing w:before="120" w:after="0"/>
        <w:rPr>
          <w:lang w:val="el" w:eastAsia="el"/>
        </w:rPr>
      </w:pPr>
      <w:r>
        <w:rPr>
          <w:b/>
          <w:bCs/>
          <w:lang w:val="el" w:eastAsia="el"/>
        </w:rPr>
        <w:t>7.</w:t>
      </w:r>
      <w:r>
        <w:rPr>
          <w:lang w:val="el" w:eastAsia="el"/>
        </w:rPr>
        <w:t xml:space="preserve"> Δ/νση Εφαρμογής Φορολογίας Κεφαλαίου – Τμήματα Α΄(30), Β΄ (4)</w:t>
      </w:r>
    </w:p>
    <w:p>
      <w:pPr>
        <w:spacing w:before="240" w:after="240"/>
        <w:rPr>
          <w:lang w:val="el" w:eastAsia="el"/>
        </w:rPr>
      </w:pPr>
      <w:r>
        <w:rPr>
          <w:b/>
          <w:bCs/>
          <w:u w:val="single"/>
          <w:lang w:val="el" w:eastAsia="el"/>
        </w:rPr>
        <w:t>ΥΠΟΔΕΙΓΜΑ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ΔΗΜΟΣΙΩΝ ΕΣΟΔΩΝ</w:t>
      </w:r>
    </w:p>
    <w:p>
      <w:pPr>
        <w:spacing w:before="240" w:after="240"/>
        <w:rPr>
          <w:lang w:val="el" w:eastAsia="el"/>
        </w:rPr>
      </w:pPr>
      <w:r>
        <w:rPr>
          <w:b/>
          <w:bCs/>
          <w:lang w:val="el" w:eastAsia="el"/>
        </w:rPr>
        <w:t>ΑΠΟΦΑΣΗ ΜΕΙΩΣΗΣ 50% ή 100%</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ΕΠΙ ΤΟΥ ΕΝ.Φ.Ι.Α.</w:t>
      </w:r>
    </w:p>
    <w:p>
      <w:pPr>
        <w:spacing w:before="240" w:after="240"/>
        <w:rPr>
          <w:lang w:val="el" w:eastAsia="el"/>
        </w:rPr>
      </w:pPr>
      <w:r>
        <w:rPr>
          <w:lang w:val="el" w:eastAsia="el"/>
        </w:rPr>
        <w:t xml:space="preserve">Η Γενική Γραμματέας Δημοσίων Εσόδων, έχοντας λάβει υπόψη τα ακόλουθα: α) το συνολικό ύψος του φορολογητέου οικογενειακού εισοδήματος φορολογικού έτους β) τη συνολική επιφάνεια των κτισμάτων της 1ης Ιανουαρίου έτους , γ) το συνολικό ύψος της αξίας της ακίνητης περιουσίας, έτους , δ) τον αριθμό των εξαρτώμενων τέκνων, σύμφωνα με τη δήλωση φορολογίας εισοδήματος φορολογικού έτους , </w:t>
      </w:r>
      <w:r>
        <w:rPr>
          <w:rStyle w:val="Hyperlink"/>
          <w:color w:val="000000"/>
          <w:sz w:val="20"/>
          <w:szCs w:val="20"/>
          <w:u w:val="none" w:color="0000EE"/>
          <w:vertAlign w:val="superscript"/>
          <w:lang w:val="el" w:eastAsia="el"/>
        </w:rPr>
        <w:footnoteReference w:id="3"/>
      </w:r>
      <w:r>
        <w:rPr>
          <w:lang w:val="el" w:eastAsia="el"/>
        </w:rPr>
        <w:t xml:space="preserve">ε) το ποσοστό αναπηρίας </w:t>
      </w:r>
      <w:r>
        <w:rPr>
          <w:rStyle w:val="Hyperlink"/>
          <w:color w:val="000000"/>
          <w:sz w:val="20"/>
          <w:szCs w:val="20"/>
          <w:u w:val="none" w:color="0000EE"/>
          <w:vertAlign w:val="superscript"/>
          <w:lang w:val="el" w:eastAsia="el"/>
        </w:rPr>
        <w:footnoteReference w:id="4"/>
      </w:r>
      <w:r>
        <w:rPr>
          <w:lang w:val="el" w:eastAsia="el"/>
        </w:rPr>
        <w:t>αποφασίζει ότι για τον/τους:</w:t>
      </w:r>
    </w:p>
    <w:p>
      <w:pPr>
        <w:spacing w:before="240" w:after="240"/>
        <w:rPr>
          <w:lang w:val="el" w:eastAsia="el"/>
        </w:rPr>
      </w:pPr>
      <w:r>
        <w:rPr>
          <w:lang w:val="el" w:eastAsia="el"/>
        </w:rPr>
        <w:t>(ονοματεπώνυμα και</w:t>
      </w:r>
    </w:p>
    <w:p>
      <w:pPr>
        <w:spacing w:before="240" w:after="240"/>
        <w:rPr>
          <w:lang w:val="el" w:eastAsia="el"/>
        </w:rPr>
      </w:pPr>
      <w:r>
        <w:rPr>
          <w:lang w:val="el" w:eastAsia="el"/>
        </w:rPr>
        <w:t xml:space="preserve">Παρέχεται μείωση 50% ή 100%* επί του ΕΝ.Φ.Ι.Α. έτους </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Αικατερίνη Σαββαΐδου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 xml:space="preserve"> Διαγράφεται κατά περίπτωση</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 xml:space="preserve"> Διαγράφεται αν δεν υπάρχουν εξαρτώμενα τέκνα</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Διαγράφεται αν δεν χορηγείται μείωση λόγω αναπηρίας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13.etak@yo.syzefxis.gov.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