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EΞ. ΕΠΕΙΓΟΝ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ΑΔΑ: </w:t>
      </w:r>
      <w:r>
        <w:rPr>
          <w:lang w:val="el" w:eastAsia="el"/>
        </w:rPr>
        <w:t>6ΨΘ4Η-Χ5Ε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ΑΡΙΘ. ΦΕΚ: </w:t>
      </w:r>
      <w:r>
        <w:rPr>
          <w:lang w:val="el" w:eastAsia="el"/>
        </w:rPr>
        <w:t>2253 Β’/19-10-2015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2280 Β’/22-10-2015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16/10/2015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γεν. δ/νση ηλεκτρονικης ΠΟΛ.: 1228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 &amp; ΑΝΘΡΩΠΙΝΟΥ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ΓΓΔΕ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Εξουσιοδότηση υπογραφής «Με εντολή Γενικού Γραμματέα Δημοσίων Εσόδων» των πράξεων προσδιορισμού του Ενιαίου Φόρου Ιδιοκτησίας Ακινήτων και των αποφάσεων χορήγησης έκπτωσης ή μείωσης του φόρου.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1 έως 10 και 13 του ν. 4223/2013 (ΦΕΚ 287 Α΄), περί Ενιαίου Φόρου Ιδιοκτησίας Ακινήτων (ΕΝ.Φ.Ι.Α.) και τις διατάξεις των άρθρων 27 έως 50 του ν.3842/2010 (ΦΕΚ 58 Α΄) περί φόρου ακίνητης περιουσίας.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4, 19, 23, 32, 34, 37, 63 και της περίπτωσης ε΄ της παραγράφου 2 του άρθρου 18 του ν.4174/2013 (ΦΕΚ 170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ΠΟΛ 1212/2015 (ΦΕΚ 2120 Β΄) και 1216/2015 (ΦΕΚ 2143 B΄) αποφάσεις της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υποπαραγράφου Ε2 της παραγράφου Ε του πρώτου άρθρου του ν. 4093/2012 (ΦΕΚ 222 Α΄), όπως ισχύει, περί σύστασης θέσης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Πράξη 20/25-6-2014 του Υπουργικού Συμβουλίου (ΦΕΚ 360 ΥΟΔΔ), περί επιλογής και διορισμού Γενικού Γραμματέα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με την παρούσα απόφαση δεν προκαλείται δαπάνη στον Κρατικό Προϋπολογισμό.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Εξουσιοδοτείται ο Προϊστάμενος της Γενικής Διεύθυνσης Φορολογικής Διοίκησης για την υπογραφή των πράξεων διοικητικού ή διορθωτικού προσδιορισμού του ενιαίου φόρου ιδιοκτησίας ακινήτων, του φόρου ακίνητης περιουσίας φυσικών προσώπων καθώς και των αποφάσεων χορήγησης έκπτωσης ή μείωσης του φόρου, στις περιπτώσεις κατά τις οποίες η εκκαθάριση πραγματοποιείται κεντρικά από τη Διεύθυνση Ηλεκτρονικής Διακυβέρνησης (Δ.ΗΛΕ.Δ.)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Γενική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ΑΜΕΣΗ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Αυτοτελές Τμήμα Διοίκησης (για άμεση αποστολή της απόφασης στο Εθνικό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Τυπογραφείο 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ΕΝΕΡΓΕΙΑ (ΜΕΤΑ ΤΗ ΔΗΜΟΣΙΕΥΣΗ ΣΤΗΝ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ΕΦΗΜΕΡΙΔΑ ΤΗΣ ΚΥΒΕΡΝΗΣΕΩΣ)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οι Δημόσιες Οικονομικές Υπηρεσίες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(περιπτώσεις 2,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(περίπτωση 3 έως και 8)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Ζ΄ (περιπτώσεις 1,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Η΄ (περιπτώσεις 1 – 3, 5 - 9)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Ι΄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IV.ΕΣΩΤΕΡΙΚΗ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Γραφείου Γενικού Διευθυντή ΚΕ.Π.Υ.Ο.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Διευθύνσεις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Εφαρμογής Φορολογίας Κεφαλαίου – Τμήμα Α΄ (20), Β΄ 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