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F </w:t>
      </w:r>
      <w:r>
        <w:rPr>
          <w:u w:val="single"/>
          <w:lang w:val="el" w:eastAsia="el"/>
        </w:rPr>
        <w:t>Αριθμ. Δ.ΕΙΣΠΡ. Δ 1145903 ΕΞ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και συμπλήρωση της αριθ. 1027320/678/ 0006Β/24-2-1998 (B’/196) απόφασης του Υπουργού Οικονομικών “Τύπος και περιεχόμενο των χρησιμοποιούμενων από την Δ.Ο.Υ. Μοσχάτου εντύπων στα Υποσυστήματα «Έσοδα–Έξοδα» και “Δικαστικών Ενεργειών’’ του Ολοκληρωμένου Πληροφορικού Συστήματος Φορολογίας (Ο.Π.Σ.Φ. ή TAXIS), όπως τροποποιήθηκε και ισχύει”.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ΥΠΟΥΡΓΟΣΟΙΚΟΝΟΜΙΚΩΝ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Της παρ. 2 του άρθρου 49 του Ν. 1591/1986 (Α’/50), όπως αντικαταστάθηκε με την παρ. 7 του άρθρου 16 του Ν. 2873/2000 “Φορολογικές ελαφρύνσεις και απλουστεύσεις και άλλες διατάξεις” (Α’/285).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Της παρ. 1 του άρθρου 82 του Ν. 4270/2014 «Αρχές δημοσιονομικής διαχείρισης και εποπτείας (ενσωμάτωση της οδηγίας 2011/85/ΕΕ) – δημόσιο λογιστικό και άλλες διατάξεις» (ΦΕΚ Α’/143/28.06.2014).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Του Π.δ. 111/2014 “Οργανισμός του Υπουργείου Οικονομικών” (ΦΕΚ 178/Α’/’29-8-2014).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Τα άρθρα 69, 70 και 74 του Π.δ. 16/89 “Κανονισμός λειτουργίας Δημοσίων Οικονομικών Υπηρεσιών (Δ.Ο.Υ.) και των Τοπικών Γραφείων και καθήκοντα υπαλλήλων αυτών” (A’/6).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Του άρθρου 90 του Κώδικα Νομοθεσίας για την Κυβέρνηση και τα κυβερνητικά όργανα, ο οποίος κυρώθηκε με το «άρθρο πρώτο» του Π.δ. 63/2005 (Α’/98)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Τις διατάξεις του Ν. 4174/2013 (Α’/170), «Φορολογικές διαδικασίες και άλλες διατάξεις»,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Την Α.Υ.Ο ΠΟΛ. 1202/8.9.2014 (ΦΕΚ 2531/Β’) «Καθορισμός βιβλίων καταχώρησης εισπρακτέων και επιστρεπτέων ποσών κατά τις διατάξεις του άρθρου 30 του Ν. 4174/2013, όπως ισχύει».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Την αριθ. 1027320/678/0006Β/24-2-1998 (Β’/196) απόφαση του Υπουργού Οικονομικών “Τύπος και περιεχόμενο των χρησιμοποιούμενων από την Δ.Ο.Υ Μοσχάτου εντύπων στα Υποσυστήματα «Έσοδα – Έξοδα» και “Δικαστικών Ενεργειών” του Ολοκληρωμένου Πληροφορικού Συστήματος Φορολογίας (Ο.Π.Σ.Φ. ή TAXIS), όπως τροποποιήθηκε με την αριθ. 1064406/1250/0006Β/28- 5-1998 (Β’/542) ομοία «Τροποποίηση αποφάσεων του Υπουργού Οικονομικών ως προς τον τύπο και το περιεχόμενο ορισμένων εντύπων Δ.Ο.Υ., των Υποσυστημάτων “Μητρώου’’, “Κώδικα Βιβλίων και Στοιχείων’’ , «Έσοδα – Έξοδα», “Δικαστικών Ενεργειών’’ και “Ηλεκτρονικό Πρωτόκολλο’’ του Ολοκληρωμένου Πληροφοριακού Συστήματος φορολογίας (Ο.Π.Σ.Φ. ή TAXIS), καθώς και τις Δ.Ο.Υ που χρησιμοποιούν αυτά όπως τροποποιήθηκε με την Δ6Γ 1177129 ΕΞ 2011 (Β’/3325) ομοία «Τροποποίηση της υπ’ αριθμ. 1027320/678/0006Β/24-2-1998 (Β’/196) απόφασης του Υπουργού Οικονομικών «Τύπος και περιεχόμενο των χρησιμοποιουμένων από τη Δ.Ο.Υ. Μοσχάτου εντύπων στα υποσυστήματα «Έσοδα – Έξοδα» και “Δικαστικών Ενεργειών” του Oλοκληρωμένου Πληροφορικού Συστήματος Φορολογίας (Ο.Π.Σ.Φ. ή TAXIS ), όπως τροποποιήθηκε και ισχύει» όπως τροποποιήθηκε με την Δ ΠΕΙΣ Δ1156972 ΕΞ 2012 (Β’/3236) ομοία «Τροποποίηση της υπ’ αριθμ. 1027320/678/0006Β/24-2-1998 (Β’/196) απόφασης του Υπουργού Οικονομικών «Τύπος και περιεχόμενο των χρησιμοποιουμένων από τη Δ.Ο.Υ. Μοσχάτου εντύπων στα υποσυστήματα «Έσοδα – Έξοδα» και “Δικαστικών Ενεργειών” του Oλοκληρωμένου Πληροφορικού Συστήματος Φορολογίας (Ο.Π.Σ.Φ. ή TAXIS), όπως τροποποιήθηκε και ισχύει».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Την απόφαση του Πρωθυπουργού Υ 14/06-10-2015 (ΦΕΚ Β’/2144),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Την ανάγκη μείωσης του υλικού και διαχειριστικού κόστους, την εξοικονόμηση χρόνου εργασίας και ανθρώπινου δυναμικού για όλες τις απαιτούμενες εργασίες που απαιτούνται από την διαχείριση των εκτυπώσεων των Α.Φ.ΕΚ.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Το γεγονός ότι από τις διατάξεις της παρούσας δεν προκαλείται πρόσθετη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Τροποποιούμε τις παρ. 1 και 2 της αριθ. 1027320/ 678/0006Β/24-2-1998 (B’/196) απόφασης του Υπουργού Οικονομικών «Τύπος και περιεχόμενο των χρησιμοποιούμενων από την Δ.Ο.Υ Μοσχάτου εντύπων στα Υποσυστήματα «Έσοδα - Έξοδα» και “Δικαστικών Ενεργειών’’ του Ολοκληρωμένου Πληροφορικού Συστήματος Φορολογίας (Ο.Π.Σ.Φ. ή TAXIS)», όπως τροποποιήθηκε και ισχύει σήμερα,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Συμπληρώνουμε την παράγραφο 1, με την προσθήκη περίπτωσης, με Α/Α (14), ονομασία εντύπου «ΣΥΓΚΕΝΤΡΩΤΙΚΗ ΚΑΤΑΣΤΑΣΗ ΣΥΜΨΗΦΙΣΤΙΚΗΣ ΕΞΟΦΛΗΣΗΣ ΦΥΛΛΩΝ ΕΚΠΤΩΣΗΣ» και με κωδικό αριθμό εντύπου «Α6β».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Συμπληρώνουμε την παράγραφο 2, με την προσθήκη περίπτωσης η), ως εξής: η) Το έντυπο «ΣΥΓΚΕΝΤΡΩΤΙΚΗ ΚΑΤΑΣΤΑΣΗ ΣΥΜΨΗΦΙΣΤΙΚΗΣ ΕΞΟΦΛΗΣΗΣ ΦΥΛΛΩΝ ΕΚΠΤΩΣΗΣ» (Α6β) που εκτυπώνεται σε ένα αντίτυπο, υπογράφεται από τον Υπάλληλο του Τμήματος, τον Προϊστάμενο Εσόδων και τον Προϊστάμενο της Δ.Ο.Υ. / του Ελεγκτικού Κέντρου και αποτελεί στοιχείο υποβολής προς το Ελεγκτικό Συνέδριο. Ο τύπος και το περιεχόμενο του εντύπου ορίζονται ως το συνημμένο υπόδειγμα το οποίο αποτελεί αναπόσπαστο μέρος της παρούσας.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II. Κατά τα λοιπά ισχύει η αριθ. 1027320/678/0006Β/ 24-2-1998 (Β’/196) απόφασή μας,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lEJilU ΗΚ/ΗΙΛ ύΕΆ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txit MM/HTA: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λ/Α: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ΕΚύΟΪΖΛ ΑΤΧΗ: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Μ5ΕΚ: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Jl.h.-r.}{.J(.-3TtXC T-.a.ϊ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ΓΡΑΗκΰ Αί-ΕΝ:.ΠΕΠί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ΑΡ.-ΗΗ/ΒΙΑ Ι1ΡίΚ7ΙΚΠϊ;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STDEi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ΗΗ/ΜΙΑ Ε5ϋ·1Ηϊ;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ΗΗ/ΗΙΑ ΒΞΰΡΙΒΗΙί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ΥΠΟΔΕΙΓΜΑ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ΖϊΓΚΐΜΪΕΊΐΓΐηΐ ΗΛΤΛΙΊΛΐΚ SVKfHOISTEKHl ΕΕΪ4Λ:1[!ΗΕ 4YiVC4(ΈΚΓ™ΐ·τ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ΤγίΚΐ ΠΗΙΉΙ: ΑΓΓΟ ΗΜ/ΗΤΑΙ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ΕΤΔΟΞ ΐΟΡΟϊ·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κι1Ιι:τ Λ·:ιιτι:·ύ rutO =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τΐΐΗΗΐ t^KWAzSKJ^ EmSTPEZITEOif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LPUriOB - ΕΤΟΞ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nOBl· Ρ5ΓΗ»ΉΨΓΤ3ΐρτ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ϊΐ.η.Ε.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nCED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IKUO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IT3t?M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Γ3Η:Μ ITHWO ΙΤΗ#ΐ|β|ϊΗΰΚ: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ΕΛΞΡΧΟΗΚΕ KAE ΕΊ^ΡΊΘΗΚΕ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ϋΤΑΓυΙΒΑΜ ΤΟΥ ΤΚζΗΓίΤΟΞ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t Λ^ΟΪ ΕΤΛΊΕΚΟΗ fiiiUddH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ηϊΟίΤΤΑΜί™^ ο.ο.τ.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ΓΡΑΜΟίτΊΟ L:vH7ii«]lH(!T: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alJlMtTtnO B'dmHOUHGVJ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ΕΏΙΟΑΟ ^trffH^ISKTE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HM/kEA Γ.\ΗίΐΜΗΕ: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ΒΏΚΓ·?. ΕπΐΞΤΕ'ΞΠπθί·ΐ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«W.TSH ΕΠΙΓΓ?1&gt;1ΙΙΪ ΪΕ K.A.K.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wnw: il FyViae^OriifMY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ΕΙΠϋΐ:nTOVnOJiST^BHOr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Οκτωβρίου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ΤΡΥΦΩΝΑΣ ΑΛΕΞΙΑΔΗΣ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