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ΕΠΕΙΓΟΝ</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210-3610030</w:t>
      </w:r>
    </w:p>
    <w:p>
      <w:pPr>
        <w:spacing w:before="240" w:after="240"/>
        <w:rPr>
          <w:lang w:val="el" w:eastAsia="el"/>
        </w:rPr>
      </w:pPr>
      <w:r>
        <w:rPr>
          <w:b/>
          <w:bCs/>
          <w:lang w:val="el" w:eastAsia="el"/>
        </w:rPr>
        <w:t>: 210-3615052</w:t>
      </w:r>
    </w:p>
    <w:p>
      <w:pPr>
        <w:spacing w:before="240" w:after="24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ΠΟΛ.1149/16.5.2014 (ΦΕΚ 1299 Β΄/22.5.2014), ΠΟΛ. 1176/14.7.2014 (ΦΕΚ 1909 Β΄/15.7.2014), ΠΟΛ. 1201/4.9.2014 (ΦΕΚ 2533 Β΄/23.9.2014), ΠΟΛ. 1207/18.9.2014 (ΦΕΚ 2604 Β΄/30.9.2014), ΠΟΛ. 1017/15.1.2015 (ΦΕΚ 222 Β΄/17.2.2015), ΠΟΛ. 1053/27.2.2015 (ΦΕΚ 376 Β΄/ 18.3.2015), ΠΟΛ.1092/17.4.2015 (ΦΕΚ 780Β’/4.5.2015), ΠΟΛ.1206/15.9.2015 (ΦΕΚ 2215 Β’/15.10.2015), ΠΟΛ.1240/29.10.2015 (ΦΕΚ Β’ 2358/03.11.2015) ΠΟΛ.1254/26.11.2015 (ΦΕΚ Β’ 2640/08.12.2015) και ΠΟΛ.1267/21.12.2015 (ΦΕΚ Β’ 2802/22.12.2015).</w:t>
      </w:r>
    </w:p>
    <w:p>
      <w:pPr>
        <w:spacing w:before="240" w:after="240"/>
        <w:rPr>
          <w:lang w:val="el" w:eastAsia="el"/>
        </w:rPr>
      </w:pPr>
      <w:r>
        <w:rPr>
          <w:lang w:val="el" w:eastAsia="el"/>
        </w:rPr>
        <w:t>3. Την Απόφαση του Αναπληρωτή Υπουργού Οικονομικών ΑΝ.ΥΠ.ΟΙΚ. 0003412 ΕΞ 2015/22.10.2015 (ΦΕΚ Β’ 2294/22.10.2015) για τον ορισμό Αναπληρωτή Γενικού Γραμματέα Δημοσίων Εσόδων.</w:t>
      </w:r>
    </w:p>
    <w:p>
      <w:pPr>
        <w:spacing w:before="240" w:after="240"/>
        <w:rPr>
          <w:lang w:val="el" w:eastAsia="el"/>
        </w:rPr>
      </w:pPr>
      <w:r>
        <w:rPr>
          <w:lang w:val="el" w:eastAsia="el"/>
        </w:rPr>
        <w:t>4.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2014,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ΠΟΛ.1053/27.2.2015 (ΦΕΚ 376 Β΄), ΠΟΛ.1092/17.4.2015 (ΦΕΚ 780Β’/4.5.2015), ΠΟΛ.1206/15.9.2015 (ΦΕΚ 2215 Β’/15.10.2015), ΠΟΛ.1240/29.10.2015 (ΦΕΚ Β’ 2358/03.11.2015), ΠΟΛ.1254/26.11.2015 (ΦΕΚ Β’ 2640/08.12.2015) και ΠΟΛ.1267/21.12.2015 (ΦΕΚ Β’ 2802/22.12.2015) ως ακολούθως:</w:t>
      </w:r>
    </w:p>
    <w:p>
      <w:pPr>
        <w:spacing w:before="240" w:after="240"/>
        <w:rPr>
          <w:lang w:val="el" w:eastAsia="el"/>
        </w:rPr>
      </w:pPr>
      <w:r>
        <w:rPr>
          <w:lang w:val="el" w:eastAsia="el"/>
        </w:rPr>
        <w:t>1. Το τελευταίο εδάφιο της παραγράφου 1 του άρθρου 4 αντικαθίσταται ως εξής:</w:t>
      </w:r>
    </w:p>
    <w:p>
      <w:pPr>
        <w:spacing w:before="240" w:after="240"/>
        <w:rPr>
          <w:lang w:val="el" w:eastAsia="el"/>
        </w:rPr>
      </w:pPr>
      <w:r>
        <w:rPr>
          <w:lang w:val="el" w:eastAsia="el"/>
        </w:rPr>
        <w:t>«Ειδικά για το ημερολογιακό έτος 2014, οι καταστάσεις όλων των ανωτέρω περιπτώσεων α’, β’, γ’ και δ’ υποβάλλονται μέχρι και 20/01/2016.</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 xml:space="preserve">Ο ΑΝΑΠΛΗΡΩΤΗΣ ΓΕΝΙΚΟΣ </w:t>
      </w:r>
      <w:r>
        <w:rPr>
          <w:b/>
          <w:bCs/>
          <w:sz w:val="30"/>
          <w:szCs w:val="30"/>
          <w:vertAlign w:val="superscript"/>
          <w:lang w:val="el" w:eastAsia="el"/>
        </w:rPr>
        <w:t>Ακριβές Αντίγραφο</w:t>
      </w:r>
      <w:r>
        <w:rPr>
          <w:b/>
          <w:bCs/>
          <w:lang w:val="el" w:eastAsia="el"/>
        </w:rPr>
        <w:t xml:space="preserve"> ΓΡΑΜΜΑΤΕΑΣ ΔΗΜΟΣΙΩΝ ΕΣΟΔΩΝ</w:t>
      </w:r>
    </w:p>
    <w:p>
      <w:pPr>
        <w:spacing w:before="240" w:after="240"/>
        <w:rPr>
          <w:lang w:val="el" w:eastAsia="el"/>
        </w:rPr>
      </w:pPr>
      <w:r>
        <w:rPr>
          <w:b/>
          <w:bCs/>
          <w:lang w:val="el" w:eastAsia="el"/>
        </w:rPr>
        <w:t>Ο Προϊστάμενος του Αυτοτελούς ΙΩΑΝΝΗΣ ΜΠΑΚΑΣ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spacing w:before="240" w:after="240"/>
        <w:rPr>
          <w:lang w:val="el" w:eastAsia="el"/>
        </w:rPr>
      </w:pPr>
      <w:r>
        <w:rPr>
          <w:lang w:val="el" w:eastAsia="el"/>
        </w:rPr>
        <w:t>α) Γραφείο κας Διευθύντριας</w:t>
      </w:r>
    </w:p>
    <w:p>
      <w:pPr>
        <w:spacing w:before="240" w:after="240"/>
        <w:rPr>
          <w:lang w:val="el" w:eastAsia="el"/>
        </w:rPr>
      </w:pPr>
      <w:r>
        <w:rPr>
          <w:lang w:val="el" w:eastAsia="el"/>
        </w:rPr>
        <w:t>β) 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