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4 Ιανουαρίου 2016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ΠΟΛ. 1001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Δ/ΝΣΗ ΦΟΡΟΛΟΓΙΚΗΣ 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ΕΦΑΡΜΟΓΗΣ ΕΜΜΕΣΗΣ ΦΟΡΟΛΟΓΙΑΣ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Β΄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ΤΕΛΩΝ &amp; ΕΙΔΙΚΩΝ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ΦΟΡΟΛΟΓΙΩΝ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Ταχ.Δ/νση : Σίνα 2-4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Ταχ.Κωδ. : 10672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Τηλέφωνο : 210 3642570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FAX : 210 3642251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 : Καθορισμός της διαδικασίας και του χρόνου απόδοσης του ειδικού τέλους παιγνίων ανά στήλη, όπως ορίζεται εκ των διατάξεων του άρθρου 12 του ν.4346/2015 (152 Α΄) καθώς και του τύπου και περιεχομένου της δήλωσης απόδοσης αυτού.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ΑΝΑΠΛΗΡΩΤΗΣ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της παρ. 1 του άρθρου 12 του ν.4346/2015 (152 Α΄).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του ν. 4174/2013 (170 Α΄) «Φορολογικές διαδικασίες και άλλες διατάξεις».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των άρθρων 81 έως και 86 του ν. 4270/2014 (Α΄143/26-6-2014) «Αρχές δημοσιονομικής διαχείρισης και εποπτείας (ενσωμάτωση της οδηγίας 2011/85/ΕΕ) – Δημόσιο Λογιστικό».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του άρθρου 90 του Κώδικα Νομοθεσίας για την Κυβέρνηση και τα κυβερνητικά όργανα, ο οποίος κυρώθηκε με το «άρθρο πρώτο» του π.δ. 63/2005 (98 Α΄) «Κωδικοποίηση της νομοθεσίας για την Κυβέρνηση και τα κυβερνητικά όργανα».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Τις διατάξεις του π.δ. 111/2014 (Α΄178) «Οργανισμός του Υπουργείου Οικονομικών»,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Τις διατάξεις της αριθ. Υ14/3-10-2015 (Β΄2144) Απόφασης Πρωθυπουργού «Ανάθεση αρμοδιοτήτων στον Αναπληρωτή Υπουργό Οικονομικών Τρύφωνα Αλεξιάδη».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Την ανάγκη καθορισμού της διαδικασίας και του χρόνου απόδοσης του ειδικού τέλους καθώς και του τύπου και περιεχομένου της δήλωσης απόδοσης αυτού.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Το γεγονός ότι από τις διατάξεις της απόφασης αυτής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Ι Ζ Ο Υ Μ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Καθορίζουμε τον τύπο και το περιεχόμενο της δήλωσης απόδοσης του προβλεπομένου εκ των διατάξεων του άρθρου 12 του ν.4346/2015 (152 Α΄) ειδικού τέλους παιγνίων πέντε (0,05) λεπτών του ευρώ, ανά στήλη, κάθε παιγνίου της ΟΠΑΠ Α.Ε., όπως το υπόδειγμα I που προσαρτάται στην παρούσα και αποτελεί αναπόσπαστο τμήμα αυτής.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δήλωση υποβάλλεται σε έντυπη μορφή από τον πάροχο (ΟΠΑΠ Α.Ε.) στην αρμόδια για τη φορολογία εισοδήματος Δ.Ο.Υ. σε δύο (2) αντίτυπα, από τα οποία το ένα παραδίδεται στον υπόχρεο.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τη δήλωση συνυποβάλλεται κατάσταση, όπως το συνημμένο υπόδειγμα II, η οποία περιλαμβάνει τον αριθμό στηλών ανά παίγνιο.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Η δήλωση υποβάλλεται και το ειδικό τέλος καταβάλλεται μέχρι την 20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(εικοστή) ημέρα κάθε μήνα και αφορά τις εισπράξεις από το ειδικό τέλος που έχουν καταβάλει οι παίκτες, ανά στήλη, των παιγνίων της ΟΠΑΠ Α.Ε. τον προηγούμενο μήνα.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Η επιβολή κυρώσεων σε περίπτωση εκπρόθεσμης, ανακριβούς ή μη υποβολής της δήλωσης απόδοσης του ειδικού τέλους καθώς και γενικά η διαδικασία βεβαίωσης και είσπραξής του, διέπονται από τις διατάξεις του Κώδικα Φορολογικής Διαδικασίας (ν.4174/2013),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Η παρούσα απόφαση ισχύει και εφαρμόζεται για τις εισπράξεις από το ειδικό τέλος, ανά στήλη, των παιγνίων της ΟΠΑΠ Α.Ε., που καταβάλλονται από τους παίκτες, από 1ης Ιανουαρίου 2016 και εφεξής.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Η παρούσα απόφαση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ΑΚΡΙΒΕΣ ΑΝΤΙΓΡΑΦΟ Ο ΠΡΟΪΣΤΑΜΕΝΟΣ ΤΟΥ ΑΥΤΟΤΕΛΟΥΣ ΤΜΗΜΑΤΟΣ ΔΙΟΙΚΗΣΗΣ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ΣΥΝΗΜΜΕΝΑ </w:t>
      </w:r>
      <w:r>
        <w:rPr>
          <w:b/>
          <w:bCs/>
          <w:u w:val="single"/>
          <w:lang w:val="el" w:eastAsia="el"/>
        </w:rPr>
        <w:t>:</w:t>
      </w:r>
      <w:r>
        <w:rPr>
          <w:b/>
          <w:bCs/>
          <w:lang w:val="el" w:eastAsia="el"/>
        </w:rPr>
        <w:t>όπως το κείμενο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I. </w:t>
      </w:r>
      <w:r>
        <w:rPr>
          <w:b/>
          <w:bCs/>
          <w:u w:val="single"/>
          <w:lang w:val="el" w:eastAsia="el"/>
        </w:rPr>
        <w:t>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Εθνικό Τυπογραφείο (για άμεση δημοσίευση)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Όλες οι Δ.Ο.Υ. και τα Ελεγκτικά κέντρα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Κεντρική Υπηρεσία Σ.Δ.Ο.Ε. και οι περιφερειακές Διευθύνσεις του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ΙΙ. </w:t>
      </w:r>
      <w:r>
        <w:rPr>
          <w:b/>
          <w:bCs/>
          <w:u w:val="single"/>
          <w:lang w:val="el" w:eastAsia="el"/>
        </w:rPr>
        <w:t>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ΟΠΑΠ Α.Ε.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Λεωφόρος Κηφισού 62 – Τ.Κ. 12132 ΠΕΡΙΣΤΕΡΙ ΑΤΤΙΚΗΣ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Επιτροπή Εποπτείας και Ελέγχου Παιγνίων (ΕΕΕΠ) Πλατεία Μαυροκορδάτου και Αχαρνών 17-Τ.Κ.10438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ΙΙΙ. </w:t>
      </w:r>
      <w:r>
        <w:rPr>
          <w:b/>
          <w:bCs/>
          <w:u w:val="single"/>
          <w:lang w:val="el" w:eastAsia="el"/>
        </w:rPr>
        <w:t>ΕΣΩΤΕΡΙΚΗ ΔΙΑΝΟΜΗ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Γραφείο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Γραφείο Αν.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Γραφείο Αν. Γεν.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Γραφείο Γεν. Διευθυντή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Γραφεία κ.κ. Γενικών Δ/ντών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Όλες τις Φορολογικές Περιφέρειες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7. Δ/νση Διαχ/σης Ανθρωπίνου Δυναμικού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8. Δ/νση Ηλεκτρονικής Διακυβέρνησης ΓΓΔΕ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9. Δ/νση Υποστήριξης Ηλεκτρονικών Υπηρεσιών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10. Δ/νση Παροχής Φορολογικών Υπηρεσιών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11. Δ/νση Επίλυσης Διαφορών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12. Αυτοτελές Τμήμα Νομικής Υποστήριξης της ΓΓΔΕ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13.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14. Γραφείο Επικοινωνίας και Πληροφόρησης Πολιτών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15. Περιοδικό «Φορολογική Επιθεώρηση»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11. Δ/νση Εφαρμογής Έμμεσης Φορολογίας – Τμήμα Β΄ Τελών &amp; Ε.Φ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