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135279/159</w:t>
      </w:r>
    </w:p>
    <w:p>
      <w:pPr>
        <w:pStyle w:val="PreambelText"/>
        <w:spacing w:before="240" w:after="240"/>
        <w:rPr>
          <w:lang w:val="el" w:eastAsia="el"/>
        </w:rPr>
      </w:pPr>
      <w:r>
        <w:rPr>
          <w:lang w:val="el" w:eastAsia="el"/>
        </w:rPr>
        <w:t>Καθορισμός Αρμοδίων Αρχών, μέτρων και διαδικασιών για την εφαρμογή του κανονισμού (ΕΚ) αριθ. 2173/2005 του Συμβουλίου της 20ης Δεκεμβρίου 2005 «περί δημιουργίας εθελοντικού συστήματος αδειών FLEGT για τις εισαγωγές ξυλείας στην Ευρωπαϊκή Κοινότητα», όπως τροποποιήθηκε και ισχύει, και του κανονισμού (ΕΚ) αριθ. 1024/2008 της Επιτροπής της 17ης Οκτωβρίου 2008 «περί καθορισμού λεπτομερών μέτρων για την εφαρμογή του κανονισμού (ΕΚ) αριθ. 2173/2005 του Συμβουλίου “περί δημιουργίας εθελοντικού συστήματος αδειών FLEGT για τις εισαγωγές ξυλείας στην Ευρωπαϊκή Κοινότητα”».</w:t>
      </w:r>
    </w:p>
    <w:p>
      <w:pPr>
        <w:pStyle w:val="enacting"/>
        <w:spacing w:before="120" w:after="0"/>
        <w:rPr>
          <w:lang w:val="el" w:eastAsia="el"/>
        </w:rPr>
      </w:pPr>
      <w:r>
        <w:rPr>
          <w:b/>
          <w:bCs/>
          <w:lang w:val="el" w:eastAsia="el"/>
        </w:rPr>
        <w:t xml:space="preserve">ΟΙ ΥΠΟΥΡΓΟΙΕΣΩΤΕΡΙΚΩΝ ΚΑΙ ΔΙΟΙΚΗΤΙΚΗΣ ΑΝΑΣΥΓΚΡΟΤΗΣΗΣ </w:t>
      </w:r>
      <w:r>
        <w:rPr>
          <w:lang w:val="el" w:eastAsia="el"/>
        </w:rPr>
        <w:br/>
      </w:r>
      <w:r>
        <w:rPr>
          <w:b/>
          <w:bCs/>
          <w:lang w:val="el" w:eastAsia="el"/>
        </w:rPr>
        <w:t xml:space="preserve">–OIKONOMIAΣ, ΑΝΑΠΤΥΞΗΣ ΚΑΙ ΤΟΥΡΙΣΜΟΥ </w:t>
      </w:r>
      <w:r>
        <w:rPr>
          <w:lang w:val="el" w:eastAsia="el"/>
        </w:rPr>
        <w:br/>
      </w:r>
      <w:r>
        <w:rPr>
          <w:b/>
          <w:bCs/>
          <w:lang w:val="el" w:eastAsia="el"/>
        </w:rPr>
        <w:t>-ΟΙΚΟΝΟΜΙΚΩΝ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δεύτερου του Ν. 2077/1992 «Κύρωση Συνθήκης για την Ευρωπαϊκή Ένωση….» (Α’ 136) και τις διατάξεις του άρθρου 1 και 2 (παρ. ζ) του Ν.1338/1983 «Εφαρμογή του Κοινοτικού Δικαίου» (Α’ 34) όπως τροποποιήθηκε με το άρθρο 6 του Ν. 1440/1984 «Συμμετοχή της Ελλάδας στο κεφάλαιο, στα αποθεματικά και στις προβλέψεις της Ευρωπαϊκής Τράπεζας Επενδύσεων, στο κεφάλαιο της Ευρωπαϊκής Κοινότητας Άνθρακος και Χάλυβος και του Οργανισμού Εφοδιασμού ΕΥΡΑΤΟΜ» (Α’ 70) και του άρθρου 3 του Ν. 1338/1983 όπως αντικαταστάθηκε από τις διατάξεις του άρθρου 65 του Ν. 1892/1990 (Α’ 101).</w:t>
      </w:r>
    </w:p>
    <w:p>
      <w:pPr>
        <w:pStyle w:val="PreambelText"/>
        <w:spacing w:before="240" w:after="240"/>
        <w:rPr>
          <w:lang w:val="el" w:eastAsia="el"/>
        </w:rPr>
      </w:pPr>
      <w:r>
        <w:rPr>
          <w:lang w:val="el" w:eastAsia="el"/>
        </w:rPr>
        <w:t>2. Τις διατάξεις των άρθρων 20 και 77 του Ν. 4270/2014 (Α’ 143).</w:t>
      </w:r>
    </w:p>
    <w:p>
      <w:pPr>
        <w:pStyle w:val="PreambelText"/>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όπως τέθηκε σε ισχύ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4. Το Π.δ. 100/2014 (Α’ 167) «Οργανισμός Υπουργείου Περιβάλλοντος, Ενέργειας και Κλιματικής Αλλαγής».</w:t>
      </w:r>
    </w:p>
    <w:p>
      <w:pPr>
        <w:pStyle w:val="PreambelText"/>
        <w:spacing w:before="240" w:after="240"/>
        <w:rPr>
          <w:lang w:val="el" w:eastAsia="el"/>
        </w:rPr>
      </w:pPr>
      <w:r>
        <w:rPr>
          <w:lang w:val="el" w:eastAsia="el"/>
        </w:rPr>
        <w:t>5. Τις διατάξεις του Ν.δ. 86/1969 (Α’ 7) «Δασικός Κώδικας», όπως τροποποιήθηκε και ισχύει.</w:t>
      </w:r>
    </w:p>
    <w:p>
      <w:pPr>
        <w:pStyle w:val="PreambelText"/>
        <w:spacing w:before="240" w:after="240"/>
        <w:rPr>
          <w:lang w:val="el" w:eastAsia="el"/>
        </w:rPr>
      </w:pPr>
      <w:r>
        <w:rPr>
          <w:lang w:val="el" w:eastAsia="el"/>
        </w:rPr>
        <w:t>6. Τις διατάξεις του N. 3889/2010 (Α’ 182) «Χρηματοδότηση Περιβαλλοντικών Παρεμβάσεων, Πράσινο Ταμείο, Κύρωση Δασικών Χαρτών και άλλες διατάξεις», όπως τροποποιήθηκε και ισχύει.</w:t>
      </w:r>
    </w:p>
    <w:p>
      <w:pPr>
        <w:pStyle w:val="PreambelText"/>
        <w:spacing w:before="240" w:after="240"/>
        <w:rPr>
          <w:lang w:val="el" w:eastAsia="el"/>
        </w:rPr>
      </w:pPr>
      <w:r>
        <w:rPr>
          <w:lang w:val="el" w:eastAsia="el"/>
        </w:rPr>
        <w:t>7. Τις διατάξεις του Άρθρου 3 του Ν. 2960/2001 – Εθνικός Τελωνειακός Κώδικας (ΦΕΚ Α 265/2001), όπως έχει τροποποιηθεί και ισχύει.</w:t>
      </w:r>
    </w:p>
    <w:p>
      <w:pPr>
        <w:pStyle w:val="PreambelText"/>
        <w:spacing w:before="240" w:after="240"/>
        <w:rPr>
          <w:lang w:val="el" w:eastAsia="el"/>
        </w:rPr>
      </w:pPr>
      <w:r>
        <w:rPr>
          <w:lang w:val="el" w:eastAsia="el"/>
        </w:rPr>
        <w:t>8. Τις διατάξεις του Π.δ. 24/2015 (Α’ 20) «Σύσταση και μετονομασία Υπουργείων, μεταφορά της Γενικής Γραμματείας Κοινωνικών Ασφαλίσεων».</w:t>
      </w:r>
    </w:p>
    <w:p>
      <w:pPr>
        <w:pStyle w:val="PreambelText"/>
        <w:spacing w:before="240" w:after="240"/>
        <w:rPr>
          <w:lang w:val="el" w:eastAsia="el"/>
        </w:rPr>
      </w:pPr>
      <w:r>
        <w:rPr>
          <w:lang w:val="el" w:eastAsia="el"/>
        </w:rPr>
        <w:t>9. Τις διατάξεις του Π.Δ. 70/2015 (Α’114)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w:t>
      </w:r>
    </w:p>
    <w:p>
      <w:pPr>
        <w:pStyle w:val="PreambelText"/>
        <w:spacing w:before="240" w:after="240"/>
        <w:rPr>
          <w:lang w:val="el" w:eastAsia="el"/>
        </w:rPr>
      </w:pPr>
      <w:r>
        <w:rPr>
          <w:lang w:val="el" w:eastAsia="el"/>
        </w:rPr>
        <w:t>10. Τις διατάξεις του Π.Δ. 73/2015 (Α’116)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11. Την υπ’ αριθ. Υ6/27-01-2015 (Β’ 204) απόφαση του Πρωθυπουργού «Καθορισμός σειράς τάξης των Υπουργείων».</w:t>
      </w:r>
    </w:p>
    <w:p>
      <w:pPr>
        <w:pStyle w:val="PreambelText"/>
        <w:spacing w:before="240" w:after="240"/>
        <w:rPr>
          <w:lang w:val="el" w:eastAsia="el"/>
        </w:rPr>
      </w:pPr>
      <w:r>
        <w:rPr>
          <w:lang w:val="el" w:eastAsia="el"/>
        </w:rPr>
        <w:t>12. Την υπ’ αριθ. Υ31/09-10-2015 (Β’ 2183) απόφαση του Πρωθυπουργού «Ανάθεση αρμοδιοτήτων στον Αναπληρωτή Υπουργό Περιβάλλοντος και Ενέργειας, Ιωάννη Τσιρώνη».</w:t>
      </w:r>
    </w:p>
    <w:p>
      <w:pPr>
        <w:pStyle w:val="PreambelText"/>
        <w:spacing w:before="240" w:after="240"/>
        <w:rPr>
          <w:lang w:val="el" w:eastAsia="el"/>
        </w:rPr>
      </w:pPr>
      <w:r>
        <w:rPr>
          <w:lang w:val="el" w:eastAsia="el"/>
        </w:rPr>
        <w:t>13. Την υπ’ αριθ. Υ14/03-10-2015 (Β’ 2144) απόφαση του Πρωθυπουργού «Ανάθεση αρμοδιοτήτων στον Αναπληρωτή Υπουργό Οικονομικών Τρύφωνα Αλεξιάδη».</w:t>
      </w:r>
    </w:p>
    <w:p>
      <w:pPr>
        <w:pStyle w:val="PreambelText"/>
        <w:spacing w:before="240" w:after="240"/>
        <w:rPr>
          <w:lang w:val="el" w:eastAsia="el"/>
        </w:rPr>
      </w:pPr>
      <w:r>
        <w:rPr>
          <w:lang w:val="el" w:eastAsia="el"/>
        </w:rPr>
        <w:t>14. Τον Κανονισμό (ΕΚ) αριθ. 2173/2005 του Συμβουλίου, της 20ης Δεκεμβρίου 2005, περί δημιουργίας εθελοντικού συστήματος αδειών FLEGT για τις εισαγωγές ξυλείας στην Ευρωπαϊκή Κοινότητα (Επίσημη Εφημερίδα αριθ. L 347 της 30/12/2005 σ. 0001 – 0006).</w:t>
      </w:r>
    </w:p>
    <w:p>
      <w:pPr>
        <w:pStyle w:val="PreambelText"/>
        <w:spacing w:before="240" w:after="240"/>
        <w:rPr>
          <w:lang w:val="el" w:eastAsia="el"/>
        </w:rPr>
      </w:pPr>
      <w:r>
        <w:rPr>
          <w:lang w:val="el" w:eastAsia="el"/>
        </w:rPr>
        <w:t>15. Τον Κανονισμό (ΕΚ) αριθ. 1024/2008 της Επιτροπής, της 17ης Οκτωβρίου 2008, περί καθορισμού λεπτομερών μέτρων για την εφαρμογή του κανονισμού (ΕΚ) αριθ. 2173/2005 του Συμβουλίου περί δημιουργίας εθελοντικού συστήματος αδειών FLEGT για τις εισαγωγές ξυλείας στην Ευρωπαϊκή Κοινότητα (Επίσημη Εφημερίδα αριθ. L 277 της 18/10/2008 σ. 0023 – 0029).</w:t>
      </w:r>
    </w:p>
    <w:p>
      <w:pPr>
        <w:pStyle w:val="PreambelText"/>
        <w:spacing w:before="240" w:after="240"/>
        <w:rPr>
          <w:lang w:val="el" w:eastAsia="el"/>
        </w:rPr>
      </w:pPr>
      <w:r>
        <w:rPr>
          <w:lang w:val="el" w:eastAsia="el"/>
        </w:rPr>
        <w:t>16. Τον Κανονισμό (ΕΕ) αριθ. 657/2014 του Ευρωπαϊκού Κοινοβουλίου και του Συμβουλίου, της 15ης Μαΐου 2014, για την τροποποίηση του κανονισμού (ΕΚ) αριθμ. 2173/2005 του Συμβουλίου, όσο αφορά την ανάθεση κατ’ εξουσιοδότηση και εκτελεστικών εξουσιών στην Επιτροπή (Επίσημη Εφημερίδα αριθ. L 189 της 27/06/2014 σ. 108 –111).</w:t>
      </w:r>
    </w:p>
    <w:p>
      <w:pPr>
        <w:pStyle w:val="PreambelText"/>
        <w:spacing w:before="240" w:after="240"/>
        <w:rPr>
          <w:lang w:val="el" w:eastAsia="el"/>
        </w:rPr>
      </w:pPr>
      <w:r>
        <w:rPr>
          <w:lang w:val="el" w:eastAsia="el"/>
        </w:rPr>
        <w:t>17. Τις διατάξεις του άρθρου 280 του Ν. 3852/2010 (ΦΕΚ Α’ 87) «Νέα Αρχιτεκτονική της Αυτοδιοίκησης και Αποκεντρωμένης Διοίκησης –Πρόγραμμα Καλλικράτης» όπως τροποποιήθηκε και ισχύει.</w:t>
      </w:r>
    </w:p>
    <w:p>
      <w:pPr>
        <w:pStyle w:val="PreambelText"/>
        <w:spacing w:before="240" w:after="240"/>
        <w:rPr>
          <w:lang w:val="el" w:eastAsia="el"/>
        </w:rPr>
      </w:pPr>
      <w:r>
        <w:rPr>
          <w:lang w:val="el" w:eastAsia="el"/>
        </w:rPr>
        <w:t>18. Το γεγονός ότι από τις διατάξεις αυτής της απόφασης δεν προκαλείται δαπάνη σε βάρος του κρατικού τακτικού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w:t>
      </w:r>
    </w:p>
    <w:p>
      <w:pPr>
        <w:spacing w:before="240" w:after="240"/>
        <w:rPr>
          <w:lang w:val="el" w:eastAsia="el"/>
        </w:rPr>
      </w:pPr>
      <w:r>
        <w:rPr>
          <w:lang w:val="el" w:eastAsia="el"/>
        </w:rPr>
        <w:t>Με την απόφαση αυτή προσδιορίζονται οι Αρμόδιες Αρχές και θεσπίζονται τα αναγκαία μέτρα και οι διαδικασίες με σκοπό την εφαρμογή των διατάξεων του κανονισμού (ΕΚ) αριθ. 2173/2005 του Συμβουλίου «περί δημιουργίας εθελοντικού συστήματος αδειών FLEGT για τις εισαγωγές ξυλείας στην Ευρωπαϊκή Κοινότητα», όπως τροποποιήθηκε και ισχύει, και του κανονισμού (ΕΚ) 1024/2008 της Επιτροπής της 17ης Οκτωβρίου 2008 «περί καθορισμού λεπτομερών μέτρων για την εφαρμογή του κανονισμού (ΕΚ) αριθ. 2173/2005 του Συμβουλίου περί δημιουργίας εθελοντικού συστήματος αδειών FLEGT για τις εισαγωγές ξυλείας στην Ευρωπαϊκή Κοινότητα», ώστε με τον προσδιορισμό των απαραίτητων μέτρων και διαδικασιών και τη συντονισμένη δράση όλων των εμπλεκόμενων αρμόδιων δημόσιων αρχών για την παραλαβή, επαλήθευση και αποδοχή των αδειών FLEGT, να συμβάλλει η χώρα μας στην αξιόπιστη εφαρμογή του κοινοτικού συστήματος αδειών FLEGT που αποσκοπεί στην παρεμπόδιση και καταπολέμηση του εμπορίου παράνομα υλοτομημένης ξυλείας.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ΑΡΜΟΔΙΕΣ ΑΡΧΕΣ</w:t>
      </w:r>
    </w:p>
    <w:p>
      <w:pPr>
        <w:spacing w:before="240" w:after="240"/>
        <w:rPr>
          <w:lang w:val="el" w:eastAsia="el"/>
        </w:rPr>
      </w:pPr>
      <w:r>
        <w:rPr>
          <w:lang w:val="el" w:eastAsia="el"/>
        </w:rPr>
        <w:t>Αρμόδιες Αρχές για την εφαρμογή των διατάξεων των κανονισμών (ΕΚ) αριθ. 2173/2005 και 1024/2008, καθώς και των διατάξεων της παρούσας απόφασης, ορίζονται:</w:t>
      </w:r>
    </w:p>
    <w:p>
      <w:pPr>
        <w:pStyle w:val="MainText"/>
        <w:spacing w:before="120" w:after="0"/>
        <w:rPr>
          <w:lang w:val="el" w:eastAsia="el"/>
        </w:rPr>
      </w:pPr>
      <w:r>
        <w:rPr>
          <w:b/>
          <w:bCs/>
          <w:lang w:val="el" w:eastAsia="el"/>
        </w:rPr>
        <w:t>1.</w:t>
      </w:r>
      <w:r>
        <w:rPr>
          <w:lang w:val="el" w:eastAsia="el"/>
        </w:rPr>
        <w:t xml:space="preserve"> η Διεύθυνση Προγραμματισμού και Δασικής Πολιτικής της Γενικής Διεύθυνσης Ανάπτυξης και Προστασίας Δασών και Αγροπεριβάλλοντος του Υπουργείου Περιβάλλοντος και Ενέργειας, που ορίζεται ως η Αρμόδια Κεντρική Αρχή («Κεντρική Αρμόδια Αρχή Κανονισμού FLEGT»). Η εν λόγω Διεύθυνση, δια του Τμήματος Διακίνησης και Εμπορίας Δασικών Προϊόντων και Ειδών CITES, καθίσταται υπεύθυνη και έχει ρόλο εθνικού συντονιστή, για την συνολική και ενιαία εφαρμογή από όλες τις συναρμόδιες αρχές και φορείς, των ανωτέρω Κανονισμών και της παρούσας απόφασης και ειδικότερα:</w:t>
      </w:r>
    </w:p>
    <w:p>
      <w:pPr>
        <w:pStyle w:val="StructureList1"/>
        <w:spacing w:before="120" w:after="0"/>
        <w:rPr>
          <w:lang w:val="el" w:eastAsia="el"/>
        </w:rPr>
      </w:pPr>
      <w:r>
        <w:rPr>
          <w:lang w:val="el" w:eastAsia="el"/>
        </w:rPr>
        <w:t>α)</w:t>
      </w:r>
      <w:r>
        <w:rPr>
          <w:lang w:val="en" w:eastAsia="en"/>
        </w:rPr>
        <w:tab/>
      </w:r>
      <w:r>
        <w:rPr>
          <w:lang w:val="el" w:eastAsia="el"/>
        </w:rPr>
        <w:t>για τη λήψη των αναγκαίων μέτρων που απαιτούνται για την εφαρμογή των διατάξεων των ως άνω Κανονισμών και της παρούσας απόφασης και τον συντονισμό των εμπλεκόμενων υπηρεσιών των συναρμόδιων Υπουργείων και τυχόν άλλων εμπλεκόμενων φορέων του Δημοσίου τομέα καθώς και των Αρμόδιων Περιφερειακών Αρχών της παραγράφου 2 και 3,</w:t>
      </w:r>
    </w:p>
    <w:p>
      <w:pPr>
        <w:pStyle w:val="StructureList1"/>
        <w:spacing w:before="120" w:after="0"/>
        <w:rPr>
          <w:lang w:val="el" w:eastAsia="el"/>
        </w:rPr>
      </w:pPr>
      <w:r>
        <w:rPr>
          <w:lang w:val="el" w:eastAsia="el"/>
        </w:rPr>
        <w:t>β)</w:t>
      </w:r>
      <w:r>
        <w:rPr>
          <w:lang w:val="en" w:eastAsia="en"/>
        </w:rPr>
        <w:tab/>
      </w:r>
      <w:r>
        <w:rPr>
          <w:lang w:val="el" w:eastAsia="el"/>
        </w:rPr>
        <w:t>για την συνολική παρακολούθηση της εφαρμογής των ως άνω Κανονισμών και της παρούσας απόφασης και την παροχή σχετικών κατευθύνσεων και τεχνικών οδηγιών προς τις ανωτέρω εμπλεκόμενες αρχές, ιδίως μέσω εγκυκλίων, για την απλούστευση των διαδικασιών και πρακτικών χωρίς να διακυβεύεται η αξιοπιστία του συστήματος FLEGT,</w:t>
      </w:r>
    </w:p>
    <w:p>
      <w:pPr>
        <w:pStyle w:val="StructureList1"/>
        <w:spacing w:before="120" w:after="0"/>
        <w:rPr>
          <w:lang w:val="el" w:eastAsia="el"/>
        </w:rPr>
      </w:pPr>
      <w:r>
        <w:rPr>
          <w:lang w:val="el" w:eastAsia="el"/>
        </w:rPr>
        <w:t>γ)</w:t>
      </w:r>
      <w:r>
        <w:rPr>
          <w:lang w:val="en" w:eastAsia="en"/>
        </w:rPr>
        <w:tab/>
      </w:r>
      <w:r>
        <w:rPr>
          <w:lang w:val="el" w:eastAsia="el"/>
        </w:rPr>
        <w:t>για τη διασφάλιση της αναγκαίας συνεργασίας και την επικοινωνία με τις αρμόδιες αρχές άλλων κρατών μελών και τρίτων χωρών, καθώς και με την Ευρωπαϊκή Επιτροπή,</w:t>
      </w:r>
    </w:p>
    <w:p>
      <w:pPr>
        <w:pStyle w:val="StructureList1"/>
        <w:spacing w:before="120" w:after="0"/>
        <w:rPr>
          <w:lang w:val="el" w:eastAsia="el"/>
        </w:rPr>
      </w:pPr>
      <w:r>
        <w:rPr>
          <w:lang w:val="el" w:eastAsia="el"/>
        </w:rPr>
        <w:t>δ)</w:t>
      </w:r>
      <w:r>
        <w:rPr>
          <w:lang w:val="en" w:eastAsia="en"/>
        </w:rPr>
        <w:tab/>
      </w:r>
      <w:r>
        <w:rPr>
          <w:lang w:val="el" w:eastAsia="el"/>
        </w:rPr>
        <w:t>για την επαλήθευση και την αποδοχή αδειών FLEGT, καθώς και για την μετέπειτα της ως άνω αποδοχής ενημέρωση της αρμόδιας περιφερειακής αρχής,</w:t>
      </w:r>
    </w:p>
    <w:p>
      <w:pPr>
        <w:pStyle w:val="StructureList1"/>
        <w:spacing w:before="120" w:after="0"/>
        <w:rPr>
          <w:lang w:val="el" w:eastAsia="el"/>
        </w:rPr>
      </w:pPr>
      <w:r>
        <w:rPr>
          <w:lang w:val="el" w:eastAsia="el"/>
        </w:rPr>
        <w:t>ε)</w:t>
      </w:r>
      <w:r>
        <w:rPr>
          <w:lang w:val="en" w:eastAsia="en"/>
        </w:rPr>
        <w:tab/>
      </w:r>
      <w:r>
        <w:rPr>
          <w:lang w:val="el" w:eastAsia="el"/>
        </w:rPr>
        <w:t>για την υποβολή εκθέσεων στην Ευρωπαϊκή Επιτροπή σχετικά με την εφαρμογή των Κανονισμών σύμφωνα με το άρθρο 5 της παρούσας απόφασης.</w:t>
      </w:r>
    </w:p>
    <w:p>
      <w:pPr>
        <w:pStyle w:val="MainText"/>
        <w:spacing w:before="120" w:after="0"/>
        <w:rPr>
          <w:lang w:val="el" w:eastAsia="el"/>
        </w:rPr>
      </w:pPr>
      <w:r>
        <w:rPr>
          <w:b/>
          <w:bCs/>
          <w:lang w:val="el" w:eastAsia="el"/>
        </w:rPr>
        <w:t>2.</w:t>
      </w:r>
      <w:r>
        <w:rPr>
          <w:lang w:val="el" w:eastAsia="el"/>
        </w:rPr>
        <w:t xml:space="preserve"> Οι Διευθύνσεις Δασών των Αποκεντρωμένων Διοικήσεων της χώρας στους νομούς όπου υπάρχουν Τελωνειακές Αρχές και αποτελούν σημεία εισόδου ξυλείας και ειδικότερα για:</w:t>
      </w:r>
    </w:p>
    <w:p>
      <w:pPr>
        <w:pStyle w:val="StructureList1"/>
        <w:spacing w:before="120" w:after="0"/>
        <w:rPr>
          <w:lang w:val="el" w:eastAsia="el"/>
        </w:rPr>
      </w:pPr>
      <w:r>
        <w:rPr>
          <w:lang w:val="el" w:eastAsia="el"/>
        </w:rPr>
        <w:t>α)</w:t>
      </w:r>
      <w:r>
        <w:rPr>
          <w:lang w:val="en" w:eastAsia="en"/>
        </w:rPr>
        <w:tab/>
      </w:r>
      <w:r>
        <w:rPr>
          <w:lang w:val="el" w:eastAsia="el"/>
        </w:rPr>
        <w:t>την παραλαβή των αδειών FLEGT, σύμφωνα με τη διαδικασία της παραγράφου 1 εδάφιο α του άρθρου 3 της παρούσας.</w:t>
      </w:r>
    </w:p>
    <w:p>
      <w:pPr>
        <w:pStyle w:val="StructureList1"/>
        <w:spacing w:before="120" w:after="0"/>
        <w:rPr>
          <w:lang w:val="el" w:eastAsia="el"/>
        </w:rPr>
      </w:pPr>
      <w:r>
        <w:rPr>
          <w:lang w:val="el" w:eastAsia="el"/>
        </w:rPr>
        <w:t>β)</w:t>
      </w:r>
      <w:r>
        <w:rPr>
          <w:lang w:val="en" w:eastAsia="en"/>
        </w:rPr>
        <w:tab/>
      </w:r>
      <w:r>
        <w:rPr>
          <w:lang w:val="el" w:eastAsia="el"/>
        </w:rPr>
        <w:t>για τον δειγματοληπτικό έλεγχο φορτίων και αδειών FLEGT,</w:t>
      </w:r>
    </w:p>
    <w:p>
      <w:pPr>
        <w:pStyle w:val="StructureList1"/>
        <w:spacing w:before="120" w:after="0"/>
        <w:rPr>
          <w:lang w:val="el" w:eastAsia="el"/>
        </w:rPr>
      </w:pPr>
      <w:r>
        <w:rPr>
          <w:lang w:val="el" w:eastAsia="el"/>
        </w:rPr>
        <w:t>γ)</w:t>
      </w:r>
      <w:r>
        <w:rPr>
          <w:lang w:val="en" w:eastAsia="en"/>
        </w:rPr>
        <w:tab/>
      </w:r>
      <w:r>
        <w:rPr>
          <w:lang w:val="el" w:eastAsia="el"/>
        </w:rPr>
        <w:t>για την υποβολή στην Αρμόδια Κεντρική Αρχή της έκθεσης που αναφέρεται στο δεύτερο εδάφιο του άρθρου 5 της παρούσας.</w:t>
      </w:r>
    </w:p>
    <w:p>
      <w:pPr>
        <w:pStyle w:val="MainText"/>
        <w:spacing w:before="120" w:after="0"/>
        <w:rPr>
          <w:lang w:val="el" w:eastAsia="el"/>
        </w:rPr>
      </w:pPr>
      <w:r>
        <w:rPr>
          <w:b/>
          <w:bCs/>
          <w:lang w:val="el" w:eastAsia="el"/>
        </w:rPr>
        <w:t>3.</w:t>
      </w:r>
      <w:r>
        <w:rPr>
          <w:lang w:val="el" w:eastAsia="el"/>
        </w:rPr>
        <w:t xml:space="preserve"> Οι Τελωνειακές Αρχές της χώρας, οι αρμοδιότητες των οποίων συνίστανται στην εφαρμογή των διατάξεων του άρθρου 4 παρ. 1 και 3 και του άρθρου 5 παρ. 7 του Κανονισμού (ΕΚ) 2173/2005, καθώς και του άρθρου 11 του Κανονισμού (ΕΚ) 1024/2008. Ως αρμόδια Τελωνεία εισόδου και εισαγωγής των προϊόντων ξυλείας που εμπίπτουν στις διατάξεις της παρούσας Απόφασης ορίζονται τα αρμόδια Τελωνεία εισόδου και εισαγωγής ειδών CITES, βάσει των εκάστοτε ισχυουσών διατάξεων.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ελέγχων</w:t>
      </w:r>
    </w:p>
    <w:p>
      <w:pPr>
        <w:spacing w:before="240" w:after="240"/>
        <w:rPr>
          <w:lang w:val="el" w:eastAsia="el"/>
        </w:rPr>
      </w:pPr>
      <w:r>
        <w:rPr>
          <w:lang w:val="el" w:eastAsia="el"/>
        </w:rPr>
        <w:t>Για την παραλαβή, επαλήθευση και αποδοχή του φορτίου ξυλείας που συνοδεύεται από άδεια FLEGT προκειμένου να τεθεί σε ελεύθερη κυκλοφορία εντός της χώρας και κατ’ επέκταση εντός της Ευρωπαϊκής Ένωσης τηρείται η ακόλουθη διαδικασία:</w:t>
      </w:r>
    </w:p>
    <w:p>
      <w:pPr>
        <w:pStyle w:val="MainText"/>
        <w:spacing w:before="120" w:after="0"/>
        <w:rPr>
          <w:lang w:val="el" w:eastAsia="el"/>
        </w:rPr>
      </w:pPr>
      <w:r>
        <w:rPr>
          <w:b/>
          <w:bCs/>
          <w:lang w:val="el" w:eastAsia="el"/>
        </w:rPr>
        <w:t>1.</w:t>
      </w:r>
      <w:r>
        <w:rPr>
          <w:lang w:val="el" w:eastAsia="el"/>
        </w:rPr>
        <w:t xml:space="preserve"> Ο εισαγωγέας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στην αρμόδια περιφερειακή αρχή της παραγράφου 2 του άρθρου 2 της παρούσας, τουλάχιστον τριάντα (30) ημέρες πριν την άφιξη του φορτίου στο σημείο εισόδου της χώρας, αίτηση συνοδευόμενη από την άδεια FLEGT. Η αίτηση έχει τη μορφή του υποδείγματος του παραρτήματος Β1 και η άδεια FLEGT τη μορφή που καθορίζεται στο παράρτημα του Κανονισμού (ΕΚ) αριθ. 1024/2008</w:t>
      </w:r>
    </w:p>
    <w:p>
      <w:pPr>
        <w:pStyle w:val="StructureList1"/>
        <w:spacing w:before="120" w:after="0"/>
        <w:rPr>
          <w:lang w:val="el" w:eastAsia="el"/>
        </w:rPr>
      </w:pPr>
      <w:r>
        <w:rPr>
          <w:lang w:val="el" w:eastAsia="el"/>
        </w:rPr>
        <w:t>β)</w:t>
      </w:r>
      <w:r>
        <w:rPr>
          <w:lang w:val="en" w:eastAsia="en"/>
        </w:rPr>
        <w:tab/>
      </w:r>
      <w:r>
        <w:rPr>
          <w:lang w:val="el" w:eastAsia="el"/>
        </w:rPr>
        <w:t>να προσκομίσει στην ανωτέρω αρμόδια αρχή τυχόν σχετικά έγγραφα και</w:t>
      </w:r>
    </w:p>
    <w:p>
      <w:pPr>
        <w:pStyle w:val="StructureList1"/>
        <w:spacing w:before="120" w:after="0"/>
        <w:rPr>
          <w:lang w:val="el" w:eastAsia="el"/>
        </w:rPr>
      </w:pPr>
      <w:r>
        <w:rPr>
          <w:lang w:val="el" w:eastAsia="el"/>
        </w:rPr>
        <w:t>γ)</w:t>
      </w:r>
      <w:r>
        <w:rPr>
          <w:lang w:val="en" w:eastAsia="en"/>
        </w:rPr>
        <w:tab/>
      </w:r>
      <w:r>
        <w:rPr>
          <w:lang w:val="el" w:eastAsia="el"/>
        </w:rPr>
        <w:t>να καταβάλλει το προβλεπόμενο στο άρθρο 7 τέλος.</w:t>
      </w:r>
    </w:p>
    <w:p>
      <w:pPr>
        <w:pStyle w:val="MainText"/>
        <w:spacing w:before="120" w:after="0"/>
        <w:rPr>
          <w:lang w:val="el" w:eastAsia="el"/>
        </w:rPr>
      </w:pPr>
      <w:r>
        <w:rPr>
          <w:b/>
          <w:bCs/>
          <w:lang w:val="el" w:eastAsia="el"/>
        </w:rPr>
        <w:t>2.</w:t>
      </w:r>
      <w:r>
        <w:rPr>
          <w:lang w:val="el" w:eastAsia="el"/>
        </w:rPr>
        <w:t xml:space="preserve"> Η Αρμόδια Περιφερειακή Αρχή μετά την παραλαβή των εγγράφων και στοιχείων που προβλέπονται στην παράγραφο 1 και εφόσον έχει καταβληθεί το προαναφερόμενο τέλος, διαβιβάζει αντίγραφα της αίτησης και της άδειας FLEGT που τη συνοδεύει στην Κεντρική Αρχή της παρ.1 του άρθρου 2 της παρούσας, η οποία προβαίνει στην αξιολόγηση του σχετικού αιτήματος για επαλήθευση της άδειας FLEGT και στη συνέχεια, εφόσον διαπιστώνει ότι πληρούνται οι απαιτήσεις του άρθρου 7 του Κανονισμού (ΕΚ) αριθ. 1024/2008, στην αποδοχή της άδειας FLEGT, άλλως στην απόρριψή της, με την έκδοση σχετικής Πράξης. Σε περίπτωση αποδοχής, γίνεται πράξη θεώρησης της άδειας FLEGT επί της αίτησης εισαγωγής του Παραρτήματος Β1 και αποστέλλεται στην αρμόδια περιφερειακή αρχή. Εάν η άδεια FLEGT δεν γίνεται αποδεκτή η πράξη απόρριψης πρέπει να είναι επαρκώς αιτιολογημένη.</w:t>
      </w:r>
    </w:p>
    <w:p>
      <w:pPr>
        <w:spacing w:before="240" w:after="240"/>
        <w:rPr>
          <w:lang w:val="el" w:eastAsia="el"/>
        </w:rPr>
      </w:pPr>
      <w:r>
        <w:rPr>
          <w:lang w:val="el" w:eastAsia="el"/>
        </w:rPr>
        <w:t>Σε κάθε περίπτωση η ανωτέρω Αρχή παρέχει σχετική ενημέρωση στις εμπλεκόμενες Περιφερειακές Αρχές αναφορικά με τα αποτελέσματα της επαλήθευσης (αποδοχή ή απόρριψη της άδειας FLEGT).</w:t>
      </w:r>
    </w:p>
    <w:p>
      <w:pPr>
        <w:pStyle w:val="MainText"/>
        <w:spacing w:before="120" w:after="0"/>
        <w:rPr>
          <w:lang w:val="el" w:eastAsia="el"/>
        </w:rPr>
      </w:pPr>
      <w:r>
        <w:rPr>
          <w:b/>
          <w:bCs/>
          <w:lang w:val="el" w:eastAsia="el"/>
        </w:rPr>
        <w:t>3.</w:t>
      </w:r>
      <w:r>
        <w:rPr>
          <w:lang w:val="el" w:eastAsia="el"/>
        </w:rPr>
        <w:t xml:space="preserve"> Εάν κατά την αξιολόγηση προκύπτουν αμφιβολίες ως προς την εγκυρότητα της άδειας FLEGT, η Αρμόδια Αρχή, μετά την άφιξη της συγκεκριμένης αποστολής και πριν αποφασίσει για την αποδοχή ή μη της άδειας FLEGT, μπορεί να ζητά από την αρχή χορήγησης της εν λόγω άδειας περαιτέρω επαληθεύσεις και πληροφορίες, σύμφωνα με το άρθρο 5 (παρ. 5) του Κανονισμού (ΕΚ) αριθ. 2173/2005 και τα άρθρα 6 (παρ. 4), 9 και 10 (παρ. 1) του Κανονισμού (ΕΚ) αριθ. 1024/2008. Για την ενέργεια αυτή η ανωτέρω αρχή ενημερώνει άμεσα τον εισαγωγέα και όλες τις εμπλεκόμενες αρχές.</w:t>
      </w:r>
    </w:p>
    <w:p>
      <w:pPr>
        <w:pStyle w:val="MainText"/>
        <w:spacing w:before="120" w:after="0"/>
        <w:rPr>
          <w:lang w:val="el" w:eastAsia="el"/>
        </w:rPr>
      </w:pPr>
      <w:r>
        <w:rPr>
          <w:b/>
          <w:bCs/>
          <w:lang w:val="el" w:eastAsia="el"/>
        </w:rPr>
        <w:t>3.1.</w:t>
      </w:r>
      <w:r>
        <w:rPr>
          <w:lang w:val="el" w:eastAsia="el"/>
        </w:rPr>
        <w:t xml:space="preserve"> Εφόσον μετά την παροχή των ανωτέρω επαληθεύσεων και πληροφοριών υφίστανται ακόμη αμφιβολίες ως προς την εγκυρότητα της άδειας, η Αρμόδια Αρχή δύναται να αποφασίζει αιτιολογημένα για τη μη αποδοχή της άδειας. Για την απόφασή της αυτή υποχρεούται να ενημερώνει άμεσα την Αρμόδια Περιφερειακή Αρχή.</w:t>
      </w:r>
    </w:p>
    <w:p>
      <w:pPr>
        <w:pStyle w:val="MainText"/>
        <w:spacing w:before="120" w:after="0"/>
        <w:rPr>
          <w:lang w:val="el" w:eastAsia="el"/>
        </w:rPr>
      </w:pPr>
      <w:r>
        <w:rPr>
          <w:b/>
          <w:bCs/>
          <w:lang w:val="el" w:eastAsia="el"/>
        </w:rPr>
        <w:t>4.</w:t>
      </w:r>
      <w:r>
        <w:rPr>
          <w:lang w:val="el" w:eastAsia="el"/>
        </w:rPr>
        <w:t xml:space="preserve"> Μετά την ολοκλήρωση των τελωνειακών διατυπώσεων εισαγωγής, ο εισαγωγέας υποχρεούται να υποβάλλει στην αρμόδια περιφερειακή αρχή αντίγραφο της τελωνειακής διασάφησης.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Οργάνωση Ηλεκτρονικού Συστήματος</w:t>
      </w:r>
    </w:p>
    <w:p>
      <w:pPr>
        <w:spacing w:before="240" w:after="240"/>
        <w:rPr>
          <w:lang w:val="el" w:eastAsia="el"/>
        </w:rPr>
      </w:pPr>
      <w:r>
        <w:rPr>
          <w:lang w:val="el" w:eastAsia="el"/>
        </w:rPr>
        <w:t>Η Αρμόδια Κεντρική Αρχή δύναται να οργανώνει ηλεκτρονικό σύστημα για την καταγραφή και ανταλλαγή των δεδομένων που περιέχουν οι άδειες κατ’ εφαρμογή των άρθρων 14 και 15 του Κανονισμού (ΕΚ) αριθ. 1024/2008, με την επιφύλαξη της προστασίας των προσωπικών δεδομένων σύμφωνα με τις σχετικές προβλέψεις του άρθρου 16 του ίδιου Κανονισμού. Στα δεδομένα αυτά έχουν πρόσβαση η Ευρωπαϊκή Επιτροπή, τα πρόσωπα και οι Οργανισμοί που αναφέρονται στις παραγράφους 2 και 3 του άρθρου 5 του Κανονισμού (ΕΚ) αριθ. 2173/2005.</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Υποβολή εκθέσεων στην Ευρωπαϊκή Επιτροπή</w:t>
      </w:r>
    </w:p>
    <w:p>
      <w:pPr>
        <w:spacing w:before="240" w:after="240"/>
        <w:rPr>
          <w:lang w:val="el" w:eastAsia="el"/>
        </w:rPr>
      </w:pPr>
      <w:r>
        <w:rPr>
          <w:lang w:val="el" w:eastAsia="el"/>
        </w:rPr>
        <w:t>Η Αρμόδια Κεντρική Αρχή υποχρεούται να υποβάλλει ετησίως στην Ευρωπαϊκή Επιτροπή τις εκθέσεις που προβλέπονται στο άρθρο 8 του Κανονισμού (ΕΚ) αριθ. 2173/2005.</w:t>
      </w:r>
    </w:p>
    <w:p>
      <w:pPr>
        <w:spacing w:before="240" w:after="240"/>
        <w:rPr>
          <w:lang w:val="el" w:eastAsia="el"/>
        </w:rPr>
      </w:pPr>
      <w:r>
        <w:rPr>
          <w:lang w:val="el" w:eastAsia="el"/>
        </w:rPr>
        <w:t>Οι Αρμόδιες Περιφερειακές Αρχές υποχρεούνται να υποβάλλουν μέχρι 30 Μαρτίου κάθε έτους, στην Αρμόδια Κεντρική Αρχή συνολική έκθεση για το προηγούμενο ημερολογιακό έτος, η οποία περιλαμβάνει τα αποτελέσματα των ελέγχων που έχουν διενεργηθεί σύμφωνα με το άρθρο 6.</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Διενέργεια Ελέγχων</w:t>
      </w:r>
    </w:p>
    <w:p>
      <w:pPr>
        <w:spacing w:before="240" w:after="240"/>
        <w:rPr>
          <w:lang w:val="el" w:eastAsia="el"/>
        </w:rPr>
      </w:pPr>
      <w:r>
        <w:rPr>
          <w:lang w:val="el" w:eastAsia="el"/>
        </w:rPr>
        <w:t>Στο πλαίσιο εφαρμογής του άρθρου 10 του Κανονισμού (ΕΚ) αριθ. 1024/2008, δύναται να διενεργούνται έλεγχοι από την κατά τόπο αρμόδια περιφερειακή αρχή του άρθρου 2 παράγραφος 2 της παρούσας.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Είσπραξη, απόδοση και ανταποδοτικότητα των τελών</w:t>
      </w:r>
    </w:p>
    <w:p>
      <w:pPr>
        <w:pStyle w:val="MainText"/>
        <w:spacing w:before="120" w:after="0"/>
        <w:rPr>
          <w:lang w:val="el" w:eastAsia="el"/>
        </w:rPr>
      </w:pPr>
      <w:r>
        <w:rPr>
          <w:b/>
          <w:bCs/>
          <w:lang w:val="el" w:eastAsia="el"/>
        </w:rPr>
        <w:t>1.</w:t>
      </w:r>
      <w:r>
        <w:rPr>
          <w:lang w:val="el" w:eastAsia="el"/>
        </w:rPr>
        <w:t xml:space="preserve"> Oι υπόχρεοι κατά την υποβολή, σύμφωνα με το άρθρο 3 παράγραφος 1 της παρούσας, της άδειας FLEGT στην αρμόδια περιφερειακή αρχή καταβάλλουν παράβολο υπέρ του Ελληνικού Δημοσίου ύψους εκατό (100) ευρώ ανά άδεια, για τον έλεγχο και την επαλήθευση της άδειας FLEGT.</w:t>
      </w:r>
    </w:p>
    <w:p>
      <w:pPr>
        <w:pStyle w:val="MainText"/>
        <w:spacing w:before="120" w:after="0"/>
        <w:rPr>
          <w:lang w:val="el" w:eastAsia="el"/>
        </w:rPr>
      </w:pPr>
      <w:r>
        <w:rPr>
          <w:b/>
          <w:bCs/>
          <w:lang w:val="el" w:eastAsia="el"/>
        </w:rPr>
        <w:t>2.</w:t>
      </w:r>
      <w:r>
        <w:rPr>
          <w:lang w:val="el" w:eastAsia="el"/>
        </w:rPr>
        <w:t xml:space="preserve"> Τα τέλη του παρόντος άρθρου αποτελούν έσοδα του Δημοσίου, τα οποία αποδίδονται και κατατίθενται στον λογαριασμό του Ειδικού Φορέα Δασών του Πράσινου Ταμείου και τα οποία έχουν ανταποδοτικό χαρακτήρα και διατίθενται αποκλειστικά και μόνο για τη χρηματοδότηση των επισήμων ελέγχων που διεξάγουν οι αρμόδιες αρχές με σκοπό την επιβεβαίωση εφαρμογής του Κανονισμού (ΕΚ) αριθ. 2173/2005 και του Κανονισμού (ΕΚ) αριθ. 1024/2008.</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Κυρώσεις</w:t>
      </w:r>
    </w:p>
    <w:p>
      <w:pPr>
        <w:spacing w:before="240" w:after="240"/>
        <w:rPr>
          <w:lang w:val="el" w:eastAsia="el"/>
        </w:rPr>
      </w:pPr>
      <w:r>
        <w:rPr>
          <w:lang w:val="el" w:eastAsia="el"/>
        </w:rPr>
        <w:t>1) Στους εισαγωγείς ξυλείας και προϊόντων ξυλείας που παραβαίνουν τις διατάξεις της παρούσας απόφασης επιβάλλονται ως διοικητική κύρωση τα ακόλουθα πρόστιμα:</w:t>
      </w:r>
    </w:p>
    <w:p>
      <w:pPr>
        <w:pStyle w:val="StructureList1"/>
        <w:spacing w:before="120" w:after="0"/>
        <w:rPr>
          <w:lang w:val="el" w:eastAsia="el"/>
        </w:rPr>
      </w:pPr>
      <w:r>
        <w:rPr>
          <w:lang w:val="el" w:eastAsia="el"/>
        </w:rPr>
        <w:t>α)</w:t>
      </w:r>
      <w:r>
        <w:rPr>
          <w:lang w:val="en" w:eastAsia="en"/>
        </w:rPr>
        <w:tab/>
      </w:r>
      <w:r>
        <w:rPr>
          <w:lang w:val="el" w:eastAsia="el"/>
        </w:rPr>
        <w:t>Με πρόστιμο από πενήντα (50) μέχρι εκατό (100) ευρώ τιμωρείται όποιος δεν καταθέτει έγκαιρα την προβλεπόμενη αίτηση και την άδεια FLEGT σύμφωνα με τις σχετικές απαιτήσεις της παρούσας απόφασης.</w:t>
      </w:r>
    </w:p>
    <w:p>
      <w:pPr>
        <w:pStyle w:val="StructureList1"/>
        <w:spacing w:before="120" w:after="0"/>
        <w:rPr>
          <w:lang w:val="el" w:eastAsia="el"/>
        </w:rPr>
      </w:pPr>
      <w:r>
        <w:rPr>
          <w:lang w:val="el" w:eastAsia="el"/>
        </w:rPr>
        <w:t>β)</w:t>
      </w:r>
      <w:r>
        <w:rPr>
          <w:lang w:val="en" w:eastAsia="en"/>
        </w:rPr>
        <w:tab/>
      </w:r>
      <w:r>
        <w:rPr>
          <w:lang w:val="el" w:eastAsia="el"/>
        </w:rPr>
        <w:t>Με πρόστιμο από χίλια (1.000) μέχρι δέκα χιλιάδες (10.000) ευρώ τιμωρείται όποιος υποβάλλει άδεια FLEGT που δεν αντιστοιχεί σε συγκεκριμένο φορτίο</w:t>
      </w:r>
    </w:p>
    <w:p>
      <w:pPr>
        <w:pStyle w:val="StructureList1"/>
        <w:spacing w:before="120" w:after="0"/>
        <w:rPr>
          <w:lang w:val="el" w:eastAsia="el"/>
        </w:rPr>
      </w:pPr>
      <w:r>
        <w:rPr>
          <w:lang w:val="el" w:eastAsia="el"/>
        </w:rPr>
        <w:t>γ)</w:t>
      </w:r>
      <w:r>
        <w:rPr>
          <w:lang w:val="en" w:eastAsia="en"/>
        </w:rPr>
        <w:tab/>
      </w:r>
      <w:r>
        <w:rPr>
          <w:lang w:val="el" w:eastAsia="el"/>
        </w:rPr>
        <w:t>Με πρόστιμο από εκατό (100) μέχρι πεντακόσια (500) ευρώ τιμωρείται όποιος αρνείται να καταβάλλει το προβλεπόμενο τέλος.</w:t>
      </w:r>
    </w:p>
    <w:p>
      <w:pPr>
        <w:spacing w:before="240" w:after="240"/>
        <w:rPr>
          <w:lang w:val="el" w:eastAsia="el"/>
        </w:rPr>
      </w:pPr>
      <w:r>
        <w:rPr>
          <w:lang w:val="el" w:eastAsia="el"/>
        </w:rPr>
        <w:t>Στις ανωτέρω περιπτώσεις η καταβολή του προστίμου αποτελεί προϋπόθεση για την αξιολόγηση του αιτήματος και την επαλήθευση της άδειας FLEGT από την αρμόδια κεντρική αρχή.</w:t>
      </w:r>
    </w:p>
    <w:p>
      <w:pPr>
        <w:spacing w:before="240" w:after="240"/>
        <w:rPr>
          <w:lang w:val="el" w:eastAsia="el"/>
        </w:rPr>
      </w:pPr>
      <w:r>
        <w:rPr>
          <w:lang w:val="el" w:eastAsia="el"/>
        </w:rPr>
        <w:t>2) Η επιβολή των προστίμων της παραγράφου 1, γίνεται με απόφαση του Γενικού Γραμματέα της οικείας Αποκεντρωμένης Διοίκησης μετά από αιτιολογημένη εισήγηση της Διεύθυνσης Δασών της Αποκεντρωμένης Διοίκησης στους νομούς όπου υπάρχουν Τελωνειακές Αρχές και αποτελούν σημεία εισόδου ξυλείας, και προηγούμενη ακρόαση του ενδιαφερόμενου.</w:t>
      </w:r>
    </w:p>
    <w:p>
      <w:pPr>
        <w:spacing w:before="240" w:after="240"/>
        <w:rPr>
          <w:lang w:val="el" w:eastAsia="el"/>
        </w:rPr>
      </w:pPr>
      <w:r>
        <w:rPr>
          <w:lang w:val="el" w:eastAsia="el"/>
        </w:rPr>
        <w:t>3) Σε περίπτωση διαπίστωσης μη συμμόρφωσης εισαγωγέων/επιχειρήσεων κατά τη διενέργεια επισήμων ελέγχων από τις Αρμόδιες Αρχές, ο υπεύθυνος της επιχείρησης υποχρεούται να καταβάλει με προσαύξηση 50% τα τέλη του άρθρου 7 της παρούσας, κατά την επόμενη υποβολή της άδειας FLEGT στην Αρμόδια Κεντρική Αρχή.</w:t>
      </w:r>
    </w:p>
    <w:p>
      <w:pPr>
        <w:spacing w:before="240" w:after="240"/>
        <w:rPr>
          <w:lang w:val="el" w:eastAsia="el"/>
        </w:rPr>
      </w:pPr>
      <w:r>
        <w:rPr>
          <w:lang w:val="el" w:eastAsia="el"/>
        </w:rPr>
        <w:t>4) Σε όποιον Εισαγωγέα παραβαίνει ή παραλείπει να συμμορφωθεί με τις απαιτήσεις που ορίζονται στο άρθρο 4 και στο άρθρο 5 του Κανονισμού (ΕΚ) αριθ. 2173/2005 και στο άρθρο 6 του Κανονισμού (ΕΚ) αριθ. 1024/2008, επιβάλλεται πρόστιμο από χίλια (1.000) μέχρι δέκα χιλιάδες (10.000) ευρώ. Το πρόστιμο αυτό επιβάλλεται με απόφαση του Υπουργού Περιβάλλοντος και Ενέργειας μετά από αιτιολογημένη εισήγηση της αρμόδιας κεντρικής αρχής και προηγούμενη ακρόαση του ενδιαφερόμενου.</w:t>
      </w:r>
    </w:p>
    <w:p>
      <w:pPr>
        <w:spacing w:before="240" w:after="240"/>
        <w:rPr>
          <w:lang w:val="el" w:eastAsia="el"/>
        </w:rPr>
      </w:pPr>
      <w:r>
        <w:rPr>
          <w:lang w:val="el" w:eastAsia="el"/>
        </w:rPr>
        <w:t>5) Βασικό κριτήριο για την επιβολή του ύψους των προστίμων που προβλέπονται στις παραγράφους 1 και 4, είναι η σοβαρότητα και η συχνότητα της παράβασης, το όφελος του παραβάτη και η επαναλαμβανόμενη μη συμμόρφωση με τυχόν υποδείξεις της αρμόδιας αρχής.</w:t>
      </w:r>
    </w:p>
    <w:p>
      <w:pPr>
        <w:spacing w:before="240" w:after="240"/>
        <w:rPr>
          <w:lang w:val="el" w:eastAsia="el"/>
        </w:rPr>
      </w:pPr>
      <w:r>
        <w:rPr>
          <w:lang w:val="el" w:eastAsia="el"/>
        </w:rPr>
        <w:t>Σε περίπτωση υποτροπής για τις ίδιες ως άνω παραβάσεις εντός τριετίας, τα ποσά των ανωτέρω επιβαλλόμενων προστίμων διπλασιάζονται και σε περίπτωση επανειλημμένης υποτροπής εντός του ίδιου χρονικού διαστήματος τα ποσά των προστίμων τριπλασιάζονται.</w:t>
      </w:r>
    </w:p>
    <w:p>
      <w:pPr>
        <w:spacing w:before="240" w:after="240"/>
        <w:rPr>
          <w:lang w:val="el" w:eastAsia="el"/>
        </w:rPr>
      </w:pPr>
      <w:r>
        <w:rPr>
          <w:lang w:val="el" w:eastAsia="el"/>
        </w:rPr>
        <w:t>6) Σε όποιον εισαγωγέα αρνείται ή παρακωλύει ή κωλυσιεργεί τη διενέργεια των ελέγχων από τα αρμόδια ελεγκτικά όργανα ή παρέχει σε αυτά ψευδή ή παραποιημένα στοιχεία, επιβάλλονται οι ποινές της παρ. 23 του άρθρου 287 του Ν.δ. 86/1969, όπως αυτή προστέθηκε με την παρ. 7 του άρθρου 57 του Ν. 2637/1998 (Α’ 200) και ισχύει.</w:t>
      </w:r>
    </w:p>
    <w:p>
      <w:pPr>
        <w:spacing w:before="240" w:after="240"/>
        <w:rPr>
          <w:lang w:val="el" w:eastAsia="el"/>
        </w:rPr>
      </w:pPr>
      <w:r>
        <w:rPr>
          <w:lang w:val="el" w:eastAsia="el"/>
        </w:rPr>
        <w:t>7) Οποιοσδήποτε εισαγωγέας ξυλείας και προϊόντων ξυλείας που εισάγει, διακινεί ή διαθέτει στη Χώρα ξυλεία ή προϊόντα ξυλείας που υπάγονται στον Κανονισμό (ΕΚ) αριθ. 2173/2005 και δεν συνοδεύονται από άδεια FLEGT, τιμωρείται με τις ποινικές και διοικητικές κυρώσεις του άρθρου 268 του Ν.δ. 86/1969 (ΦΕΚ 7/τ.Α’/1969), όπως τροποποιήθηκε και ισχύει, της παραγράφου 22 του άρθρου 287, όπως η παράγραφος αυτή προστέθηκε με την παράγραφο 7 του άρθρου 57 του Ν. 2637/1998 (Α’ 200), του άρθρου 288α, όπως ισχύει, και του άρθρου 271 του ανωτέρω Ν.δ/τος, όπως τροποποιήθηκε και ισχύει. Σε περίπτωση που η ξυλεία ή τα προϊόντα ξυλείας που εισάγονται, διακινούνται ή διατίθενται στη χώρα δεν περιλαμβάνονται στον ετήσιο πίνακα διατίμησης του άρθρου 160, παράγραφος 2 του Ν.δ. 86/1969, όπως αντικαταστάθηκε με την παράγραφο 9 του άρθρου 4 του Ν. 3208/2003 και ισχύει, τότε το ύψος του προστίμου καθορίζεται κατά την κρίση της αρμόδιας αρχής, λαμβάνοντας υπόψη στοιχεία που διατίθενται και αφορούν στην τρέχουσα εμπορική αξία των εν λόγω προϊόντων ξυλείας.</w:t>
      </w:r>
    </w:p>
    <w:p>
      <w:pPr>
        <w:pStyle w:val="MainText"/>
        <w:spacing w:before="120" w:after="0"/>
        <w:rPr>
          <w:lang w:val="el" w:eastAsia="el"/>
        </w:rPr>
      </w:pPr>
      <w:r>
        <w:rPr>
          <w:b/>
          <w:bCs/>
          <w:lang w:val="el" w:eastAsia="el"/>
        </w:rPr>
        <w:t>8.</w:t>
      </w:r>
      <w:r>
        <w:rPr>
          <w:lang w:val="el" w:eastAsia="el"/>
        </w:rPr>
        <w:t xml:space="preserve"> Τα διοικητικά πρόστιμα που προβλέπονται στο παρόν άρθρο, βεβαιώνονται στην αρμόδια Δ.Ο.Υ., εισπράττονται κατά τα ισχύοντα στον Κώδικα για την Είσπραξη Δημοσίων Εσόδων (ΚΕΔΕ) και αποδίδονται στον Ειδικό Φορέα Δασών του Πράσινου Ταμείου του Ν. 3889/2010 (Α’ 182) για τις ανάγκες εφαρμογής της παρούσας απόφασης.</w:t>
      </w:r>
    </w:p>
    <w:p>
      <w:pPr>
        <w:pStyle w:val="MainText"/>
        <w:spacing w:before="120" w:after="0"/>
        <w:rPr>
          <w:lang w:val="el" w:eastAsia="el"/>
        </w:rPr>
      </w:pPr>
      <w:r>
        <w:rPr>
          <w:b/>
          <w:bCs/>
          <w:lang w:val="el" w:eastAsia="el"/>
        </w:rPr>
        <w:t>9.</w:t>
      </w:r>
      <w:r>
        <w:rPr>
          <w:lang w:val="el" w:eastAsia="el"/>
        </w:rPr>
        <w:t xml:space="preserve"> Οι κυρώσεις που προβλέπονται στο παρόν άρθρο επιβάλλονται ανεξάρτητα από την επιβολή των κυρώσεων που προβλέπονται σε άλλες διατάξεις της κείμενης νομοθεσίας.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Κάθε διάταξη που έρχεται σε αντίθεση με τις διατάξεις της παρούσας απόφασης ή ανάγεται σε θέματα που ρυθμίζονται από αυτήν, καταργείται.</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Η ισχύς της παρούσας απόφασης αρχίζει από τη δημοσίευση της στην Εφημερίδα της Κυβερνήσεως.</w:t>
      </w:r>
    </w:p>
    <w:p>
      <w:pPr>
        <w:spacing w:before="240" w:after="240"/>
        <w:rPr>
          <w:lang w:val="el" w:eastAsia="el"/>
        </w:rPr>
      </w:pPr>
      <w:r>
        <w:rPr>
          <w:u w:val="single"/>
          <w:lang w:val="el" w:eastAsia="el"/>
        </w:rPr>
        <w:t>ΠΑΡΑΡΤΗΜΑΤΑ</w:t>
      </w:r>
    </w:p>
    <w:p>
      <w:pPr>
        <w:spacing w:before="240" w:after="240"/>
        <w:rPr>
          <w:lang w:val="el" w:eastAsia="el"/>
        </w:rPr>
      </w:pPr>
      <w:r>
        <w:rPr>
          <w:lang w:val="el" w:eastAsia="el"/>
        </w:rPr>
        <w:t>Τα παρακάτω παραρτήματα απατελαύν αναπόσπαστα μέρας της παρσύσης απόφασης:</w:t>
      </w:r>
    </w:p>
    <w:p>
      <w:pPr>
        <w:spacing w:before="240" w:after="240"/>
        <w:rPr>
          <w:lang w:val="el" w:eastAsia="el"/>
        </w:rPr>
      </w:pPr>
      <w:r>
        <w:rPr>
          <w:b/>
          <w:bCs/>
          <w:u w:val="single"/>
          <w:lang w:val="el" w:eastAsia="el"/>
        </w:rPr>
        <w:t xml:space="preserve">ΠΑΡΑΡΤΗΜΑ </w:t>
      </w:r>
      <w:r>
        <w:rPr>
          <w:b/>
          <w:bCs/>
          <w:u w:val="single"/>
          <w:lang w:val="el" w:eastAsia="el"/>
        </w:rPr>
        <w:t>I</w:t>
      </w:r>
    </w:p>
    <w:p>
      <w:pPr>
        <w:spacing w:before="240" w:after="240"/>
        <w:rPr>
          <w:lang w:val="el" w:eastAsia="el"/>
        </w:rPr>
      </w:pPr>
      <w:r>
        <w:rPr>
          <w:b/>
          <w:bCs/>
          <w:lang w:val="el" w:eastAsia="el"/>
        </w:rPr>
        <w:t>ΚΑΤΑΛΟΓΟΣ ΤΩΝ ΕΤΑΙΡΩΝ ΧΩΡΩΝ ΚΑΙ ΤΩΝ ΑΡΧΩΝ ΧΟΡΗΓΗΣΗΣ ΑΔΕΙΩΝ ΠΟΥ ΕΧΟΥΝ ΟΡΙΣΕΙ</w:t>
      </w:r>
    </w:p>
    <w:p>
      <w:pPr>
        <w:spacing w:before="240" w:after="240"/>
        <w:rPr>
          <w:lang w:val="el" w:eastAsia="el"/>
        </w:rPr>
      </w:pPr>
      <w:r>
        <w:rPr>
          <w:b/>
          <w:bCs/>
          <w:u w:val="single"/>
          <w:lang w:val="el" w:eastAsia="el"/>
        </w:rPr>
        <w:t xml:space="preserve">ΠΑΡΑΡΤΗΜΑ </w:t>
      </w:r>
      <w:r>
        <w:rPr>
          <w:b/>
          <w:bCs/>
          <w:u w:val="single"/>
          <w:lang w:val="el" w:eastAsia="el"/>
        </w:rPr>
        <w:t>II</w:t>
      </w:r>
    </w:p>
    <w:p>
      <w:pPr>
        <w:spacing w:before="240" w:after="240"/>
        <w:rPr>
          <w:lang w:val="el" w:eastAsia="el"/>
        </w:rPr>
      </w:pPr>
      <w:r>
        <w:rPr>
          <w:b/>
          <w:bCs/>
          <w:lang w:val="el" w:eastAsia="el"/>
        </w:rPr>
        <w:t>Προϊόντα ξυλείας επί των οποίων ισχύει το σύστημα αδειών FLEGT, ανεξαρτήτως εταίρου χώρας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7"/>
        <w:gridCol w:w="82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Κλάση 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Ξυλεία ακατέργαστη, έστω και ξεφλσυδισμένη, πσυ της έχει αφαιρεθεί σ σσμφός ή σρθσγωνισμένη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Στρωτήρες ξύλινσι για σιδηρστρσχιές ή παρόμσισι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Ξυλεία πρισνισμένη ή πελεκημένη κατά μήκσς, κσμμένη εγκάρσια ή ξετυλιγμένη, έστω και πλανισμένη, λειασμένη με ελαφρόπετρα ή εγκάρσια συνένωση, πάχσυς πσυ υπερβαίνει τα 6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Φύλλα για επικάλυψη (στα σπσία περιλαμβάνσνται και εκείνα πσυ λαμβάνσνται με τεμαχισμό ξυλείας σε απανωτές στρώσεις), φύλλα πσλύστρωτα αντικσλλητά (κόντρα πλακέ) ή για άλλη παρόμσια ξυλεία σε επανωτές στρώσεις και άλλη ξυλεία πρισνισμένη κατά μήκσς, κσμμένη εγκάρσια ή ξετιλυγμένη, έστω και πλανισμένη, λειασμένη με ελαφρόπετρα ή συνενωμένη κατ’ άκρσν ή εγκαρσίως, πάχσυς πσυ δεν πρέπει να υπερβαίνει τα 6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Ξυλεία σε </w:t>
            </w:r>
            <w:r>
              <w:rPr>
                <w:b w:val="0"/>
                <w:bCs w:val="0"/>
                <w:i/>
                <w:iCs/>
                <w:smallCaps w:val="0"/>
                <w:color w:val="000000"/>
                <w:lang w:val="el" w:eastAsia="el"/>
              </w:rPr>
              <w:t>φύλλα</w:t>
            </w:r>
            <w:r>
              <w:rPr>
                <w:b w:val="0"/>
                <w:bCs w:val="0"/>
                <w:i w:val="0"/>
                <w:iCs w:val="0"/>
                <w:smallCaps w:val="0"/>
                <w:color w:val="000000"/>
                <w:lang w:val="el" w:eastAsia="el"/>
              </w:rPr>
              <w:t xml:space="preserve"> πσλύστρωτα αντικσλλητά (κόντρα πλακέ), ξυλεία σε φύλλα επικσλλητά απλά και παρόμσια ξυλεία σε απανωτά φύλλα</w:t>
            </w:r>
          </w:p>
        </w:tc>
      </w:tr>
    </w:tbl>
    <w:p>
      <w:pPr>
        <w:spacing w:before="240" w:after="240"/>
        <w:rPr>
          <w:lang w:val="el" w:eastAsia="el"/>
        </w:rPr>
      </w:pPr>
      <w:r>
        <w:rPr>
          <w:b/>
          <w:bCs/>
          <w:u w:val="single"/>
          <w:lang w:val="el" w:eastAsia="el"/>
        </w:rPr>
        <w:t>ΠΑΡΑΡΤΗΜΑ ΙΙΙ</w:t>
      </w:r>
    </w:p>
    <w:p>
      <w:pPr>
        <w:spacing w:before="240" w:after="240"/>
        <w:rPr>
          <w:lang w:val="el" w:eastAsia="el"/>
        </w:rPr>
      </w:pPr>
      <w:r>
        <w:rPr>
          <w:b/>
          <w:bCs/>
          <w:lang w:val="el" w:eastAsia="el"/>
        </w:rPr>
        <w:t xml:space="preserve">Προϊόντα ξυλείας επί των οποίων ισχύει το σύστημα αδειών FLEGT </w:t>
      </w:r>
    </w:p>
    <w:p>
      <w:pPr>
        <w:spacing w:before="240" w:after="240"/>
        <w:rPr>
          <w:lang w:val="el" w:eastAsia="el"/>
        </w:rPr>
      </w:pPr>
      <w:r>
        <w:rPr>
          <w:b/>
          <w:bCs/>
          <w:lang w:val="el" w:eastAsia="el"/>
        </w:rPr>
        <w:t>όσον αφορά μόνο τιςαντίστοιχες εταίρους χώρες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39"/>
        <w:gridCol w:w="1511"/>
        <w:gridCol w:w="16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Εταίρσς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Κλάση </w:t>
            </w:r>
            <w:r>
              <w:rPr>
                <w:b w:val="0"/>
                <w:bCs w:val="0"/>
                <w:i/>
                <w:iCs/>
                <w:smallCaps w:val="0"/>
                <w:color w:val="000000"/>
                <w:lang w:val="el" w:eastAsia="el"/>
              </w:rPr>
              <w:t>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bl>
    <w:p>
      <w:pPr>
        <w:spacing w:before="240" w:after="240"/>
        <w:rPr>
          <w:lang w:val="el" w:eastAsia="el"/>
        </w:rPr>
      </w:pPr>
      <w:r>
        <w:rPr>
          <w:b/>
          <w:bCs/>
          <w:lang w:val="el" w:eastAsia="el"/>
        </w:rPr>
        <w:t>ΠΑΡΑΡΤΗΜΑ B1</w:t>
      </w:r>
    </w:p>
    <w:p>
      <w:pPr>
        <w:spacing w:before="240" w:after="240"/>
        <w:rPr>
          <w:lang w:val="el" w:eastAsia="el"/>
        </w:rPr>
      </w:pPr>
      <w:r>
        <w:rPr>
          <w:lang w:val="el" w:eastAsia="el"/>
        </w:rPr>
        <w:t xml:space="preserve">Υπόδειγμα υποβολής αίτησης για εισαγωγή φορτίου ξυλείας που συνοδεύεται από έντυπη όδειαFLEGT όπως προβλέπεται στο όρθρο 2, παρόγραφος 3 του κανονισμού 1024/2008 </w:t>
      </w:r>
    </w:p>
    <w:p>
      <w:pPr>
        <w:spacing w:before="240" w:after="240"/>
        <w:rPr>
          <w:lang w:val="el" w:eastAsia="el"/>
        </w:rPr>
      </w:pPr>
      <w:r>
        <w:rPr>
          <w:lang w:val="el" w:eastAsia="el"/>
        </w:rPr>
        <w:t>και στοΠαρόρτημα B2 της παρούσης</w:t>
      </w:r>
    </w:p>
    <w:p>
      <w:pPr>
        <w:spacing w:before="240" w:after="240"/>
        <w:rPr>
          <w:lang w:val="el" w:eastAsia="el"/>
        </w:rPr>
      </w:pPr>
      <w:r>
        <w:rPr>
          <w:b/>
          <w:bCs/>
          <w:lang w:val="el" w:eastAsia="el"/>
        </w:rPr>
        <w:t>ΑΙΤΗΣΗ ΕΙΣΑΓΩΓΗΣ ΦΟΡΤΙΟΥ ΞΥΛΕΙΑΣ ΠΟΥ ΣΥΝΟΔΕΥΕΤΑΙ ΑΠΟ ΑΔΕΙΑ FLEGT</w:t>
      </w:r>
    </w:p>
    <w:p>
      <w:pPr>
        <w:spacing w:before="240" w:after="240"/>
        <w:rPr>
          <w:lang w:val="el" w:eastAsia="el"/>
        </w:rPr>
      </w:pPr>
      <w:r>
        <w:rPr>
          <w:b/>
          <w:bCs/>
          <w:lang w:val="el" w:eastAsia="el"/>
        </w:rPr>
        <w:t>ΠΡΟΣ: ΑΡΜΟΔΙΑ ΠΕΡΙΦΕΡΕΙΑΚΗ ΑΡΧΗ ΚΑΝΟΝΙΣΜΟΥ FLEGT</w:t>
      </w:r>
    </w:p>
    <w:p>
      <w:pPr>
        <w:spacing w:before="240" w:after="240"/>
        <w:rPr>
          <w:lang w:val="el" w:eastAsia="el"/>
        </w:rPr>
      </w:pPr>
      <w:r>
        <w:rPr>
          <w:lang w:val="el" w:eastAsia="el"/>
        </w:rPr>
        <w:t>ΟΝΟΜΑΤΕΠΩΝΥΜΟ Ή ΕΠΩΝΥΜΙΑ ΕΠΙΧΕΙΡΙΣΗΣ:</w:t>
      </w:r>
    </w:p>
    <w:p>
      <w:pPr>
        <w:spacing w:before="240" w:after="240"/>
        <w:rPr>
          <w:lang w:val="el" w:eastAsia="el"/>
        </w:rPr>
      </w:pPr>
      <w:r>
        <w:rPr>
          <w:lang w:val="el" w:eastAsia="el"/>
        </w:rPr>
        <w:t>ΕΠΑΓΓΕΛΜΑ:</w:t>
      </w:r>
    </w:p>
    <w:p>
      <w:pPr>
        <w:spacing w:before="240" w:after="240"/>
        <w:rPr>
          <w:lang w:val="el" w:eastAsia="el"/>
        </w:rPr>
      </w:pPr>
      <w:r>
        <w:rPr>
          <w:lang w:val="el" w:eastAsia="el"/>
        </w:rPr>
        <w:t>ΔΙΕΥΘΥΝΣΗ:</w:t>
      </w:r>
    </w:p>
    <w:p>
      <w:pPr>
        <w:spacing w:before="240" w:after="240"/>
        <w:rPr>
          <w:lang w:val="el" w:eastAsia="el"/>
        </w:rPr>
      </w:pPr>
      <w:r>
        <w:rPr>
          <w:lang w:val="el" w:eastAsia="el"/>
        </w:rPr>
        <w:t>ΤΗΛΕΦΩΝΟ/ ΦΑΞ:</w:t>
      </w:r>
    </w:p>
    <w:p>
      <w:pPr>
        <w:spacing w:before="240" w:after="240"/>
        <w:rPr>
          <w:lang w:val="el" w:eastAsia="el"/>
        </w:rPr>
      </w:pPr>
      <w:r>
        <w:rPr>
          <w:lang w:val="el" w:eastAsia="el"/>
        </w:rPr>
        <w:t>ΑΡΙΘΜΟΣ ΜΗΤΡΩΟΥ*:</w:t>
      </w:r>
    </w:p>
    <w:p>
      <w:pPr>
        <w:spacing w:before="240" w:after="240"/>
        <w:rPr>
          <w:lang w:val="el" w:eastAsia="el"/>
        </w:rPr>
      </w:pPr>
      <w:r>
        <w:rPr>
          <w:lang w:val="el" w:eastAsia="el"/>
        </w:rPr>
        <w:t>ΑΡΙΘΜΟΣ ΑΔΕΙΑΣ FLEGT:</w:t>
      </w:r>
    </w:p>
    <w:p>
      <w:pPr>
        <w:spacing w:before="240" w:after="240"/>
        <w:rPr>
          <w:lang w:val="el" w:eastAsia="el"/>
        </w:rPr>
      </w:pPr>
      <w:r>
        <w:rPr>
          <w:lang w:val="el" w:eastAsia="el"/>
        </w:rPr>
        <w:t>ΤΕΛΩΝΕΙΟ ΕΙΣΑΓΩΓΗΣ:</w:t>
      </w:r>
    </w:p>
    <w:p>
      <w:pPr>
        <w:spacing w:before="240" w:after="240"/>
        <w:rPr>
          <w:lang w:val="el" w:eastAsia="el"/>
        </w:rPr>
      </w:pPr>
      <w:r>
        <w:rPr>
          <w:lang w:val="el" w:eastAsia="el"/>
        </w:rPr>
        <w:t xml:space="preserve">Παρακαλώ </w:t>
      </w:r>
      <w:r>
        <w:rPr>
          <w:i/>
          <w:iCs/>
          <w:lang w:val="el" w:eastAsia="el"/>
        </w:rPr>
        <w:t>να</w:t>
      </w:r>
      <w:r>
        <w:rPr>
          <w:lang w:val="el" w:eastAsia="el"/>
        </w:rPr>
        <w:t xml:space="preserve"> μου εγκρίνετε την εισαγωγή φορτίου ξυλείας από ** </w:t>
      </w:r>
      <w:r>
        <w:rPr>
          <w:i/>
          <w:iCs/>
          <w:lang w:val="el" w:eastAsia="el"/>
        </w:rPr>
        <w:t>κατ’</w:t>
      </w:r>
    </w:p>
    <w:p>
      <w:pPr>
        <w:spacing w:before="240" w:after="240"/>
        <w:rPr>
          <w:lang w:val="el" w:eastAsia="el"/>
        </w:rPr>
      </w:pPr>
      <w:r>
        <w:rPr>
          <w:lang w:val="el" w:eastAsia="el"/>
        </w:rPr>
        <w:t>είδος και ποσότητα ως ο κατωτέρω πίνακας: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717"/>
        <w:gridCol w:w="3168"/>
        <w:gridCol w:w="17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ΕΙΔΟΣ</w:t>
            </w:r>
            <w:r>
              <w:rPr>
                <w:b w:val="0"/>
                <w:bCs w:val="0"/>
                <w:i w:val="0"/>
                <w:iCs w:val="0"/>
                <w:smallCaps w:val="0"/>
                <w:color w:val="000000"/>
                <w:lang w:val="el" w:eastAsia="el"/>
              </w:rPr>
              <w:t xml:space="preserve"> (ΕΠΙΣΤΗΜΟΝΙΚΗ 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ΕΙΔΟΣ</w:t>
            </w:r>
            <w:r>
              <w:rPr>
                <w:b w:val="0"/>
                <w:bCs w:val="0"/>
                <w:i w:val="0"/>
                <w:iCs w:val="0"/>
                <w:smallCaps w:val="0"/>
                <w:color w:val="000000"/>
                <w:lang w:val="el" w:eastAsia="el"/>
              </w:rPr>
              <w:t xml:space="preserve"> (ΕΜΠΟΡΙΚΗ </w:t>
            </w:r>
            <w:r>
              <w:rPr>
                <w:b w:val="0"/>
                <w:bCs w:val="0"/>
                <w:i/>
                <w:iCs/>
                <w:smallCaps w:val="0"/>
                <w:color w:val="000000"/>
                <w:lang w:val="el" w:eastAsia="el"/>
              </w:rPr>
              <w:t>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ΠΟΣΟΤΗΤΑ</w:t>
            </w:r>
          </w:p>
        </w:tc>
      </w:tr>
    </w:tbl>
    <w:p>
      <w:pPr>
        <w:spacing w:before="240" w:after="240"/>
        <w:rPr>
          <w:lang w:val="el" w:eastAsia="el"/>
        </w:rPr>
      </w:pPr>
      <w:r>
        <w:rPr>
          <w:lang w:val="el" w:eastAsia="el"/>
        </w:rPr>
        <w:t>……………………………, ……/……./</w:t>
      </w:r>
    </w:p>
    <w:p>
      <w:pPr>
        <w:spacing w:before="240" w:after="240"/>
        <w:rPr>
          <w:lang w:val="el" w:eastAsia="el"/>
        </w:rPr>
      </w:pPr>
      <w:r>
        <w:rPr>
          <w:lang w:val="el" w:eastAsia="el"/>
        </w:rPr>
        <w:t>Ο ΑΙΤΩΝ</w:t>
      </w:r>
    </w:p>
    <w:p>
      <w:pPr>
        <w:spacing w:before="240" w:after="240"/>
        <w:rPr>
          <w:lang w:val="el" w:eastAsia="el"/>
        </w:rPr>
      </w:pPr>
      <w:r>
        <w:rPr>
          <w:b/>
          <w:bCs/>
          <w:lang w:val="el" w:eastAsia="el"/>
        </w:rPr>
        <w:t>Οδηνίεα συμπλήρωσης Tnc αίτησης</w:t>
      </w:r>
    </w:p>
    <w:p>
      <w:pPr>
        <w:spacing w:before="240" w:after="240"/>
        <w:rPr>
          <w:lang w:val="el" w:eastAsia="el"/>
        </w:rPr>
      </w:pPr>
      <w:r>
        <w:rPr>
          <w:lang w:val="el" w:eastAsia="el"/>
        </w:rPr>
        <w:t>* Αναγρόφεται ο Αριθμός Μητρώου που του έχει αποδοθεί στον έμπορο-εισαγωγέα σύμφωνα με το</w:t>
      </w:r>
    </w:p>
    <w:p>
      <w:pPr>
        <w:spacing w:before="240" w:after="240"/>
        <w:rPr>
          <w:lang w:val="el" w:eastAsia="el"/>
        </w:rPr>
      </w:pPr>
      <w:r>
        <w:rPr>
          <w:lang w:val="el" w:eastAsia="el"/>
        </w:rPr>
        <w:t>όρθρο 7 παρ. 1 εδόφιο γ της Κοινής Υπουργικής Απόφασης αριθ (ΚΥΑ Καν. Ξυλείας).</w:t>
      </w:r>
    </w:p>
    <w:p>
      <w:pPr>
        <w:spacing w:before="240" w:after="240"/>
        <w:rPr>
          <w:lang w:val="el" w:eastAsia="el"/>
        </w:rPr>
      </w:pPr>
      <w:r>
        <w:rPr>
          <w:lang w:val="el" w:eastAsia="el"/>
        </w:rPr>
        <w:t>** Αναγρόφεται το Κρότος Εξαγωγής</w:t>
      </w:r>
    </w:p>
    <w:p>
      <w:pPr>
        <w:spacing w:before="240" w:after="240"/>
        <w:rPr>
          <w:lang w:val="el" w:eastAsia="el"/>
        </w:rPr>
      </w:pPr>
      <w:r>
        <w:rPr>
          <w:b/>
          <w:bCs/>
          <w:u w:val="single"/>
          <w:lang w:val="el" w:eastAsia="el"/>
        </w:rPr>
        <w:t xml:space="preserve">ΠΡΑΞΗ ΘΕΩΡΗΣΗΣ ΤΗΣ ΑΔΕΙΑΣ </w:t>
      </w:r>
      <w:r>
        <w:rPr>
          <w:b/>
          <w:bCs/>
          <w:u w:val="single"/>
          <w:lang w:val="el" w:eastAsia="el"/>
        </w:rPr>
        <w:t>FLEGT</w:t>
      </w:r>
    </w:p>
    <w:p>
      <w:pPr>
        <w:spacing w:before="240" w:after="240"/>
        <w:rPr>
          <w:lang w:val="el" w:eastAsia="el"/>
        </w:rPr>
      </w:pPr>
      <w:r>
        <w:rPr>
          <w:b/>
          <w:bCs/>
          <w:u w:val="single"/>
          <w:lang w:val="el" w:eastAsia="el"/>
        </w:rPr>
        <w:t xml:space="preserve">ΠΑΡΑΡΤΗΜΑ </w:t>
      </w:r>
      <w:r>
        <w:rPr>
          <w:b/>
          <w:bCs/>
          <w:u w:val="single"/>
          <w:lang w:val="el" w:eastAsia="el"/>
        </w:rPr>
        <w:t>B</w:t>
      </w:r>
      <w:r>
        <w:rPr>
          <w:b/>
          <w:bCs/>
          <w:u w:val="single"/>
          <w:lang w:val="el" w:eastAsia="el"/>
        </w:rPr>
        <w:t>2</w:t>
      </w:r>
    </w:p>
    <w:p>
      <w:pPr>
        <w:spacing w:before="240" w:after="240"/>
        <w:rPr>
          <w:lang w:val="el" w:eastAsia="el"/>
        </w:rPr>
      </w:pPr>
      <w:r>
        <w:rPr>
          <w:lang w:val="el" w:eastAsia="el"/>
        </w:rPr>
        <w:t>Μορφή έντυπης άδειας FLEGT όπως προβλέπεται στο άρθρο 2, παράγραφος 3 του κανονισμού (ΕΚ</w:t>
      </w:r>
    </w:p>
    <w:p>
      <w:pPr>
        <w:spacing w:before="240" w:after="240"/>
        <w:rPr>
          <w:lang w:val="el" w:eastAsia="el"/>
        </w:rPr>
      </w:pPr>
      <w:r>
        <w:rPr>
          <w:lang w:val="el" w:eastAsia="el"/>
        </w:rPr>
        <w:t>)αριθ. 1024/2008</w:t>
      </w:r>
    </w:p>
    <w:p>
      <w:pPr>
        <w:spacing w:before="240" w:after="240"/>
        <w:rPr>
          <w:lang w:val="el" w:eastAsia="el"/>
        </w:rPr>
      </w:pPr>
      <w:r>
        <w:rPr>
          <w:b/>
          <w:bCs/>
          <w:lang w:val="el" w:eastAsia="el"/>
        </w:rPr>
        <w:t>ΕΥΡΩΠΑΪΚΗ ΚΟΙΝΟΤΗΤΑ FLEGT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10"/>
        <w:gridCol w:w="39"/>
        <w:gridCol w:w="25"/>
        <w:gridCol w:w="1162"/>
        <w:gridCol w:w="1074"/>
        <w:gridCol w:w="915"/>
        <w:gridCol w:w="223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Εκ6ί6ουσα αρχή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Οΐοραα^ι</w:t>
            </w:r>
          </w:p>
          <w:p>
            <w:pPr>
              <w:spacing w:before="240"/>
              <w:rPr>
                <w:b w:val="0"/>
                <w:bCs w:val="0"/>
                <w:i w:val="0"/>
                <w:iCs w:val="0"/>
                <w:smallCaps w:val="0"/>
                <w:color w:val="000000"/>
                <w:lang w:val="el" w:eastAsia="el"/>
              </w:rPr>
            </w:pPr>
            <w:r>
              <w:rPr>
                <w:b w:val="0"/>
                <w:bCs w:val="0"/>
                <w:i w:val="0"/>
                <w:iCs w:val="0"/>
                <w:smallCaps w:val="0"/>
                <w:color w:val="000000"/>
                <w:lang w:val="el" w:eastAsia="el"/>
              </w:rPr>
              <w:t>ΔΐΕύ9υνση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Για τους σκοπούς της χώρας ίκόοοης της άδειας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ΑριβμΛί άδΕίος FLEGT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Ημερομηνία Λήξής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Χώρΰ βξαγίιΐγήί^</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Μέσο μεταφοράς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ΚωΕικύς I$O</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Κάτοχος της ήΒειας (Ονοματεπώνυμο και Βιεό&amp;ονβη)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Εμπορική περιγραφή των προίόνιων ξυλείας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1Ο Κλάση ΕΙ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Κοινή ή Επιστημονική ονομασία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Χώρες υλοτόμησης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Κωδικοί ISO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Όγκος (πι’}</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 Καθαρό βάρος (kg)</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 Αριθμός τεμαχίων</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 Διακριτικά</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 a Υπογραφή και σφραγΙΕα της εκβΙΑουαης αρχής</w:t>
            </w:r>
          </w:p>
          <w:p>
            <w:pPr>
              <w:spacing w:before="240"/>
              <w:rPr>
                <w:b w:val="0"/>
                <w:bCs w:val="0"/>
                <w:i w:val="0"/>
                <w:iCs w:val="0"/>
                <w:smallCaps w:val="0"/>
                <w:color w:val="000000"/>
                <w:lang w:val="el" w:eastAsia="el"/>
              </w:rPr>
            </w:pPr>
            <w:r>
              <w:rPr>
                <w:b/>
                <w:bCs/>
                <w:i w:val="0"/>
                <w:iCs w:val="0"/>
                <w:smallCaps w:val="0"/>
                <w:color w:val="000000"/>
                <w:lang w:val="el" w:eastAsia="el"/>
              </w:rPr>
              <w:t>.■,. και ημερομηνία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80"/>
        <w:gridCol w:w="3179"/>
        <w:gridCol w:w="32"/>
        <w:gridCol w:w="21"/>
        <w:gridCol w:w="966"/>
        <w:gridCol w:w="894"/>
        <w:gridCol w:w="775"/>
        <w:gridCol w:w="1812"/>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ΕΥΡΩΠΑΪΚΗ ΚΟΙΝΟΤΗΤΑ FLEGT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rPr>
                <w:b w:val="0"/>
                <w:bCs w:val="0"/>
                <w:i w:val="0"/>
                <w:iCs w:val="0"/>
                <w:smallCaps w:val="0"/>
                <w:color w:val="000000"/>
                <w:lang w:val="el" w:eastAsia="el"/>
              </w:rPr>
            </w:pPr>
            <w:r>
              <w:rPr>
                <w:b/>
                <w:bCs/>
                <w:i w:val="0"/>
                <w:iCs w:val="0"/>
                <w:smallCaps w:val="0"/>
                <w:color w:val="000000"/>
                <w:lang w:val="el" w:eastAsia="el"/>
              </w:rPr>
              <w:t>Η LU LU ί e 4 C D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Ί </w:t>
            </w:r>
            <w:r>
              <w:rPr>
                <w:b/>
                <w:bCs/>
                <w:i w:val="0"/>
                <w:iCs w:val="0"/>
                <w:smallCaps w:val="0"/>
                <w:color w:val="000000"/>
                <w:lang w:val="el" w:eastAsia="el"/>
              </w:rPr>
              <w:t>Εκΰίδουσα αρχή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Ονομπτεπώνυμο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!1ΐΕ(ι9υν[[ΐι</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Γιο τους σκοπούς της χώρας έκδοσης της άδειας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Αριθμός ά5ίΐος FLEGT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Ημερομηνία λήξης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Χώρα Εξανωνής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Μέσο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 Κωδικό </w:t>
            </w:r>
            <w:r>
              <w:rPr>
                <w:b/>
                <w:bCs/>
                <w:i w:val="0"/>
                <w:iCs w:val="0"/>
                <w:smallCaps w:val="0"/>
                <w:color w:val="000000"/>
                <w:lang w:val="el" w:eastAsia="el"/>
              </w:rPr>
              <w:t>ISO</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Κάτοχος της άόειας (Ονοματεπώνυμο και ΰιεύθανση)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Εμπορική ποριγραφή ™ν προϊόντνιν ξυλείος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Κλάση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Κοινή ή επιστημονική ονομασία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Χώρες υλοτόμησης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ΚωίικαΙ 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14 </w:t>
            </w:r>
            <w:r>
              <w:rPr>
                <w:b/>
                <w:bCs/>
                <w:i w:val="0"/>
                <w:iCs w:val="0"/>
                <w:smallCaps w:val="0"/>
                <w:color w:val="000000"/>
                <w:lang w:val="el" w:eastAsia="el"/>
              </w:rPr>
              <w:t>Όγκος (πι·’}</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 Καβαρό βάρος (hg}</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 Αριθμός τεμαχίων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17 </w:t>
            </w:r>
            <w:r>
              <w:rPr>
                <w:b/>
                <w:bCs/>
                <w:i w:val="0"/>
                <w:iCs w:val="0"/>
                <w:smallCaps w:val="0"/>
                <w:color w:val="000000"/>
                <w:lang w:val="el" w:eastAsia="el"/>
              </w:rPr>
              <w:t>Διοκριτικά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19 </w:t>
            </w:r>
            <w:r>
              <w:rPr>
                <w:b/>
                <w:bCs/>
                <w:i w:val="0"/>
                <w:iCs w:val="0"/>
                <w:smallCaps w:val="0"/>
                <w:color w:val="000000"/>
                <w:lang w:val="el" w:eastAsia="el"/>
              </w:rPr>
              <w:t>Υπογραφή και σφραγίδα της εκδίβουοας αρχής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Τόπος </w:t>
            </w:r>
            <w:r>
              <w:rPr>
                <w:b/>
                <w:bCs/>
                <w:i w:val="0"/>
                <w:iCs w:val="0"/>
                <w:smallCaps w:val="0"/>
                <w:color w:val="000000"/>
                <w:lang w:val="el" w:eastAsia="el"/>
              </w:rPr>
              <w:t xml:space="preserve">και </w:t>
            </w:r>
            <w:r>
              <w:rPr>
                <w:b w:val="0"/>
                <w:bCs w:val="0"/>
                <w:i w:val="0"/>
                <w:iCs w:val="0"/>
                <w:smallCaps w:val="0"/>
                <w:color w:val="000000"/>
                <w:lang w:val="el" w:eastAsia="el"/>
              </w:rPr>
              <w:t>ημερομηνία</w:t>
            </w:r>
          </w:p>
        </w:tc>
      </w:tr>
    </w:tbl>
    <w:p>
      <w:pPr>
        <w:spacing w:before="240" w:after="240"/>
        <w:rPr>
          <w:lang w:val="el" w:eastAsia="el"/>
        </w:rPr>
      </w:pPr>
      <w:r>
        <w:rPr>
          <w:b/>
          <w:bCs/>
          <w:lang w:val="el" w:eastAsia="el"/>
        </w:rPr>
        <w:t>ΠΑΡΑΡΤΗΜΑ B3</w:t>
      </w:r>
    </w:p>
    <w:p>
      <w:pPr>
        <w:spacing w:before="240" w:after="240"/>
        <w:rPr>
          <w:lang w:val="el" w:eastAsia="el"/>
        </w:rPr>
      </w:pPr>
      <w:r>
        <w:rPr>
          <w:lang w:val="el" w:eastAsia="el"/>
        </w:rPr>
        <w:t>Καθοδηγητικές σημειώσεις για την άδεια FLEGT</w:t>
      </w:r>
    </w:p>
    <w:p>
      <w:pPr>
        <w:spacing w:before="240" w:after="240"/>
        <w:rPr>
          <w:lang w:val="el" w:eastAsia="el"/>
        </w:rPr>
      </w:pPr>
      <w:r>
        <w:rPr>
          <w:lang w:val="el" w:eastAsia="el"/>
        </w:rPr>
        <w:t>λ 'ί«5ΰίίί^ηπ({Ζ&lt;· ί?ημΰώσι;ί&lt;</w:t>
      </w:r>
    </w:p>
    <w:p>
      <w:pPr>
        <w:spacing w:before="240" w:after="240"/>
        <w:rPr>
          <w:lang w:val="el" w:eastAsia="el"/>
        </w:rPr>
      </w:pPr>
      <w:r>
        <w:rPr>
          <w:lang w:val="el" w:eastAsia="el"/>
        </w:rPr>
        <w:t>Γίπκίί;</w:t>
      </w:r>
    </w:p>
    <w:p>
      <w:pPr>
        <w:spacing w:before="240" w:after="240"/>
        <w:rPr>
          <w:lang w:val="el" w:eastAsia="el"/>
        </w:rPr>
      </w:pPr>
      <w:r>
        <w:rPr>
          <w:lang w:val="el" w:eastAsia="el"/>
        </w:rPr>
        <w:t>ΕκμπΛηρώνοντοι με κ;ειϊίΛα[ο.</w:t>
      </w:r>
    </w:p>
    <w:p>
      <w:pPr>
        <w:spacing w:before="240" w:after="240"/>
        <w:rPr>
          <w:lang w:val="el" w:eastAsia="el"/>
        </w:rPr>
      </w:pPr>
      <w:r>
        <w:rPr>
          <w:lang w:val="el" w:eastAsia="el"/>
        </w:rPr>
        <w:t>Dnou αναφέρεται ο κοί&amp;κώς ISO, npiceiTOL για το &amp;ί:6νή τιιηοποιημένο κωδικιΐ δύο γραμμάτω'υ κάθε χώρας.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