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b/>
          <w:bCs/>
          <w:lang w:val="el" w:eastAsia="el"/>
        </w:rPr>
        <w:t>Α. ΓΕΝΙΚΗ ΔΙΕΥΘΥΝΣΗ ΗΛΕΚΤΡΟΝΙΚΗΣ ΔΙΑΚΥΒΕΡΝΗΣΗΣ</w:t>
      </w:r>
    </w:p>
    <w:p>
      <w:pPr>
        <w:pStyle w:val="Title"/>
        <w:spacing w:before="120" w:after="360"/>
        <w:rPr>
          <w:lang w:val="el" w:eastAsia="el"/>
        </w:rPr>
      </w:pPr>
      <w:r>
        <w:rPr>
          <w:b/>
          <w:bCs/>
          <w:lang w:val="el" w:eastAsia="el"/>
        </w:rPr>
        <w:t>&amp; ΑΝΘΡΩΠΙΝΟΥ ΔΥΝΑΜΙΚΟΥ</w:t>
      </w:r>
    </w:p>
    <w:p>
      <w:pPr>
        <w:pStyle w:val="Title"/>
        <w:spacing w:before="120" w:after="360"/>
        <w:rPr>
          <w:lang w:val="el" w:eastAsia="el"/>
        </w:rPr>
      </w:pPr>
      <w:r>
        <w:rPr>
          <w:b/>
          <w:bCs/>
          <w:lang w:val="el" w:eastAsia="el"/>
        </w:rPr>
        <w:t>ΔΙΕΥΘΥΝΣΗ ΗΛΕΚΤΡΟΝΙΚΗΣ ΔΙΑΚΥΒΕΡΝΗΣΗΣ Γ.Γ.Δ.Ε.</w:t>
      </w:r>
    </w:p>
    <w:p>
      <w:pPr>
        <w:pStyle w:val="StructureList1"/>
        <w:spacing w:before="120" w:after="0"/>
        <w:rPr>
          <w:lang w:val="el" w:eastAsia="el"/>
        </w:rPr>
      </w:pPr>
      <w:r>
        <w:rPr>
          <w:lang w:val="el" w:eastAsia="el"/>
        </w:rPr>
        <w:t>-</w:t>
      </w:r>
      <w:r>
        <w:rPr>
          <w:lang w:val="en" w:eastAsia="en"/>
        </w:rPr>
        <w:tab/>
      </w:r>
      <w:r>
        <w:rPr>
          <w:lang w:val="el" w:eastAsia="el"/>
        </w:rPr>
        <w:t>ΤΜΗΜΑΤΑ Α’ &amp; Β’</w:t>
      </w:r>
    </w:p>
    <w:p>
      <w:pPr>
        <w:pStyle w:val="PreambelText"/>
        <w:spacing w:before="240" w:after="240"/>
        <w:rPr>
          <w:lang w:val="el" w:eastAsia="el"/>
        </w:rPr>
      </w:pPr>
      <w:r>
        <w:rPr>
          <w:b/>
          <w:bCs/>
          <w:lang w:val="el" w:eastAsia="el"/>
        </w:rPr>
        <w:t>Β. ΓΕΝΙΚΗ ΔΙΕΥΘΥΝΣΗ ΦΟΡΟΛΟΓΙΚΗΣ ΔΙΟΙΚΗΣΗΣ ΔΙΕΥΘΥΝΣΗ ΠΑΡΟΧΗΣ ΦΟΡΟΛΟΓΙΚΩΝ ΥΠΗΡΕΣΙΩΝ</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ΔΙΕΥΘΥΝΣΗ ΕΙΣΠΡΑΞΕΩΝ</w:t>
      </w:r>
    </w:p>
    <w:p>
      <w:pPr>
        <w:pStyle w:val="StructureList1"/>
        <w:spacing w:before="120" w:after="0"/>
        <w:rPr>
          <w:lang w:val="el" w:eastAsia="el"/>
        </w:rPr>
      </w:pPr>
      <w:r>
        <w:rPr>
          <w:lang w:val="el" w:eastAsia="el"/>
        </w:rPr>
        <w:t>-</w:t>
      </w:r>
      <w:r>
        <w:rPr>
          <w:lang w:val="en" w:eastAsia="en"/>
        </w:rPr>
        <w:tab/>
      </w:r>
      <w:r>
        <w:rPr>
          <w:lang w:val="el" w:eastAsia="el"/>
        </w:rPr>
        <w:t>ΤΜΗΜΑ Δ’</w:t>
      </w:r>
    </w:p>
    <w:p>
      <w:pPr>
        <w:spacing w:before="240" w:after="240"/>
        <w:rPr>
          <w:lang w:val="el" w:eastAsia="el"/>
        </w:rPr>
      </w:pPr>
      <w:r>
        <w:rPr>
          <w:b/>
          <w:bCs/>
          <w:lang w:val="el" w:eastAsia="el"/>
        </w:rPr>
        <w:t>Θέμα: «Εντοπισμός ανασφάλιστων αυτοκινήτων οχημάτων και επιδίωξη συμμόρφωσης των ιδιοκτητών αυτών μέσω της επίσπευσης της διαδικασίας επιβολής διοικητικών και ποινικών κυρώσεων»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237/1986 (Α’ 110), όπως ισχύει, και ειδικότερα όπως αυτό συμπληρώθηκε με το άρθρο εικοστό έκτο του ν.4141/2013 (ΦΕΚ 81 Α’ / 5.4.2013),</w:t>
      </w:r>
    </w:p>
    <w:p>
      <w:pPr>
        <w:spacing w:before="240" w:after="240"/>
        <w:rPr>
          <w:lang w:val="el" w:eastAsia="el"/>
        </w:rPr>
      </w:pPr>
      <w:r>
        <w:rPr>
          <w:lang w:val="el" w:eastAsia="el"/>
        </w:rPr>
        <w:t>2) Τις διατάξεις του Π.Δ. 111/2014 «Οργανισμός Υπουργείου Οικονομικών» (ΦΕΚ 178 Α’), όπως ισχύει,</w:t>
      </w:r>
    </w:p>
    <w:p>
      <w:pPr>
        <w:spacing w:before="240" w:after="240"/>
        <w:rPr>
          <w:lang w:val="el" w:eastAsia="el"/>
        </w:rPr>
      </w:pPr>
      <w:r>
        <w:rPr>
          <w:lang w:val="el" w:eastAsia="el"/>
        </w:rPr>
        <w:t>3) Την αριθμ.</w:t>
      </w:r>
      <w:r>
        <w:rPr>
          <w:rStyle w:val="link"/>
          <w:lang w:val="el" w:eastAsia="el"/>
        </w:rPr>
        <w:t xml:space="preserve"> Δ6Α 1117082 ΕΞ2013/23.7.2013 </w:t>
      </w:r>
      <w:r>
        <w:rPr>
          <w:lang w:val="el" w:eastAsia="el"/>
        </w:rPr>
        <w:t>(ΦΕΚ Β' 1779) 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όπως αυτή έχει τροποποιηθεί με την υπ' αριθμ.</w:t>
      </w:r>
      <w:r>
        <w:rPr>
          <w:rStyle w:val="link"/>
          <w:lang w:val="el" w:eastAsia="el"/>
        </w:rPr>
        <w:t xml:space="preserve"> Δ6Α 1131977 ΕΞ2013/26.8.2013 </w:t>
      </w:r>
      <w:r>
        <w:rPr>
          <w:lang w:val="el" w:eastAsia="el"/>
        </w:rPr>
        <w:t>απόφαση του Υπουργού και του Υφυπουργού Οικονομικών (Β’ 2191),</w:t>
      </w:r>
    </w:p>
    <w:p>
      <w:pPr>
        <w:spacing w:before="240" w:after="240"/>
        <w:rPr>
          <w:lang w:val="el" w:eastAsia="el"/>
        </w:rPr>
      </w:pPr>
      <w:r>
        <w:rPr>
          <w:lang w:val="el" w:eastAsia="el"/>
        </w:rPr>
        <w:t>4) Την ΠΟΛ 1163/2013 «Όροι και διαδικασία είσπραξης – επιστροφής για την εφαρμογή του ηλεκτρονικού παραβόλου», όπως ισχύει,</w:t>
      </w:r>
    </w:p>
    <w:p>
      <w:pPr>
        <w:spacing w:before="240" w:after="240"/>
        <w:rPr>
          <w:lang w:val="el" w:eastAsia="el"/>
        </w:rPr>
      </w:pPr>
      <w:r>
        <w:rPr>
          <w:lang w:val="el" w:eastAsia="el"/>
        </w:rPr>
        <w:t>5) Την υπ’ αριθμ. Υ14/6.10.2015 (ΦΕΚ Β’ 2144)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6)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Διεύθυνση Ηλεκτρονικής Διακυβέρνησης Γ.Γ.Δ.Ε. (εφεξής Δ.ΗΛΕ.Δ.) της Γενικής Διεύθυνσης Ηλεκτρονικής Διακυβέρνησης και Ανθρώπινου Δυναμικού της Γενικής Γραμματείας Δημοσίων Εσόδων (Γ.Γ.Δ.Ε.) ορίζεται ως η αρμόδια υπηρεσία με επιμέλεια της οποίας πραγματοποιείται ο εντοπισμός των τυχόν ανασφάλιστων αυτοκινήτων οχημάτων και επιδιώκεται η συμμόρφωση των ιδιοκτητών αυτών μέσω της επίσπευσης της διαδικασίας επιβολής των διοικητικών κυρώσεων και ποινών της παραγράφου 4 του άρθρου 5 και των ποινικών κυρώσεων του άρθρου 12 του Π.Δ. 237/1986, από τις Αστυνομικές Αρχές.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Διασταύρωση αρχείων</w:t>
      </w:r>
    </w:p>
    <w:p>
      <w:pPr>
        <w:spacing w:before="240" w:after="240"/>
        <w:rPr>
          <w:lang w:val="el" w:eastAsia="el"/>
        </w:rPr>
      </w:pPr>
      <w:r>
        <w:rPr>
          <w:lang w:val="el" w:eastAsia="el"/>
        </w:rPr>
        <w:t>Η Δ.ΗΛΕ.Δ. για το σκοπό αυτό αναλαμβάνει την επεξεργασία, τη ζεύξη και τη διασταύρωση των αρχείων που τηρούνται ηλεκτρονικά στις κατά λόγο αρμοδιότητας βάσεις δεδομένων των παρακάτω υπηρεσιών:</w:t>
      </w:r>
    </w:p>
    <w:p>
      <w:pPr>
        <w:pStyle w:val="StructureList1"/>
        <w:spacing w:before="120" w:after="0"/>
        <w:rPr>
          <w:lang w:val="el" w:eastAsia="el"/>
        </w:rPr>
      </w:pPr>
      <w:r>
        <w:rPr>
          <w:lang w:val="el" w:eastAsia="el"/>
        </w:rPr>
        <w:t>α)</w:t>
      </w:r>
      <w:r>
        <w:rPr>
          <w:lang w:val="en" w:eastAsia="en"/>
        </w:rPr>
        <w:tab/>
      </w:r>
      <w:r>
        <w:rPr>
          <w:lang w:val="el" w:eastAsia="el"/>
        </w:rPr>
        <w:t>του αρχείου της Γ.Γ.Δ.Ε. όπως αυτό ενημερώνεται με τις μεταβολές και τις νέες άδειες κυκλοφορίας που εκδίδονται από το Υπουργείο Υποδομών, Μεταφορών &amp; Δικτύων καθώς και με τις μεταβολές (όπως ακινησίες) των κατά τόπους Δ.Ο.Υ.,</w:t>
      </w:r>
    </w:p>
    <w:p>
      <w:pPr>
        <w:pStyle w:val="StructureList1"/>
        <w:spacing w:before="120" w:after="0"/>
        <w:rPr>
          <w:lang w:val="el" w:eastAsia="el"/>
        </w:rPr>
      </w:pPr>
      <w:r>
        <w:rPr>
          <w:lang w:val="el" w:eastAsia="el"/>
        </w:rPr>
        <w:t>β)</w:t>
      </w:r>
      <w:r>
        <w:rPr>
          <w:lang w:val="en" w:eastAsia="en"/>
        </w:rPr>
        <w:tab/>
      </w:r>
      <w:r>
        <w:rPr>
          <w:lang w:val="el" w:eastAsia="el"/>
        </w:rPr>
        <w:t>του αρχείου του Κέντρου Πληροφοριών που προβλέπεται στο άρθρο 27β του Π.Δ. 237/1986 (ΦΕΚ Α΄ 110) όπως ισχύει, και σύμφωνα με τις διατάξεις του ν. 3867/2010 (ΦΕΚ Α΄ 128) αποτελεί υπηρεσιακή μονάδα του Επικουρικού Κεφαλαίου Ασφάλισης Ευθύνης από Ατυχήματα Αυτοκινήτων (εφεξής Κέντρο Πληροφοριών), για τα αυτοκίνητα οχήματα που είναι ασφαλισμένα,</w:t>
      </w:r>
    </w:p>
    <w:p>
      <w:pPr>
        <w:pStyle w:val="StructureList1"/>
        <w:spacing w:before="120" w:after="0"/>
        <w:rPr>
          <w:lang w:val="el" w:eastAsia="el"/>
        </w:rPr>
      </w:pPr>
      <w:r>
        <w:rPr>
          <w:lang w:val="el" w:eastAsia="el"/>
        </w:rPr>
        <w:t>γ)</w:t>
      </w:r>
      <w:r>
        <w:rPr>
          <w:lang w:val="en" w:eastAsia="en"/>
        </w:rPr>
        <w:tab/>
      </w:r>
      <w:r>
        <w:rPr>
          <w:lang w:val="el" w:eastAsia="el"/>
        </w:rPr>
        <w:t>των αρχείων οποιασδήποτε άλλης δημόσιας υπηρεσίας ή Υπουργείου που νομιμοποιείται σύμφωνα με την νομοθεσία να εκδίδει άδεια κυκλοφορίας οχημάτων, στα οποία τηρούνται ηλεκτρονικά τα στοιχεία των οχημάτων αυτών.</w:t>
      </w:r>
    </w:p>
    <w:p>
      <w:pPr>
        <w:spacing w:before="240" w:after="240"/>
        <w:rPr>
          <w:lang w:val="el" w:eastAsia="el"/>
        </w:rPr>
      </w:pPr>
      <w:r>
        <w:rPr>
          <w:lang w:val="el" w:eastAsia="el"/>
        </w:rPr>
        <w:t>Το Κέντρο Πληροφοριών και οι δημόσιες υπηρεσίες ή Υπουργεία υποχρεούνται να θέτουν, σε διαρκή βάση, στη διάθεση της Δ.ΗΛΕ.Δ. τα παραπάνω αρχεία και στοιχεία τους, όταν αυτό απαιτηθεί, προκειμένου να διενεργείται, με ηλεκτρονικό τρόπο, ο έλεγχος και εντοπισμός των αυτοκίνητων οχημάτων για τα οποία δεν υφίσταται η υποχρεωτική ασφαλιστική κάλυψη (εντοπισμός ανασφάλιστων οχημάτων).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εντοπισμού ανασφάλιστων οχημάτων</w:t>
      </w:r>
    </w:p>
    <w:p>
      <w:pPr>
        <w:spacing w:before="240" w:after="240"/>
        <w:rPr>
          <w:lang w:val="el" w:eastAsia="el"/>
        </w:rPr>
      </w:pPr>
      <w:r>
        <w:rPr>
          <w:lang w:val="el" w:eastAsia="el"/>
        </w:rPr>
        <w:t>Το Κέντρο Πληροφοριών, αποστέλλει αρχείο ασφαλισμένων οχημάτων, μετά από αίτημα της Δ.ΗΛΕ.Δ., για συγκεκριμένη ημερομηνία.</w:t>
      </w:r>
    </w:p>
    <w:p>
      <w:pPr>
        <w:spacing w:before="240" w:after="240"/>
        <w:rPr>
          <w:lang w:val="el" w:eastAsia="el"/>
        </w:rPr>
      </w:pPr>
      <w:r>
        <w:rPr>
          <w:lang w:val="el" w:eastAsia="el"/>
        </w:rPr>
        <w:t>Η Δ.ΗΛΕ.Δ. με βάση τα διαθέσιμα και τηρούμενα στη Γ.Γ.Δ.Ε. ηλεκτρονικά αρχεία και το αρχείο του Κέντρου Πληροφοριών, εντοπίζει με διασταύρωση τα οχήματα που ήταν σε κυκλοφορία την εν λόγω ημερομηνία και παράγει αρχείο πιθανών ανασφάλιστων οχημάτων.</w:t>
      </w:r>
    </w:p>
    <w:p>
      <w:pPr>
        <w:spacing w:before="240" w:after="240"/>
        <w:rPr>
          <w:lang w:val="el" w:eastAsia="el"/>
        </w:rPr>
      </w:pPr>
      <w:r>
        <w:rPr>
          <w:lang w:val="el" w:eastAsia="el"/>
        </w:rPr>
        <w:t>Η Δ.ΗΛΕ.Δ. αποστέλλει ειδοποιητήρια επιστολή στους ιδιοκτήτες των πιθανώς ανασφάλιστων οχημάτων, είτε με ηλεκτρονικό ταχυδρομείο είτε στην τελευταία δηλωθείσα από αυτούς, στη φορολογική διοίκηση, ταχυδρομική διεύθυνση, με την οποία τους ειδοποιεί, να προβούν άμεσα, στην ασφάλιση της αστικής ευθύνης από την κυκλοφορία του οχήματος τους.</w:t>
      </w:r>
    </w:p>
    <w:p>
      <w:pPr>
        <w:spacing w:before="240" w:after="240"/>
        <w:rPr>
          <w:lang w:val="el" w:eastAsia="el"/>
        </w:rPr>
      </w:pPr>
      <w:r>
        <w:rPr>
          <w:lang w:val="el" w:eastAsia="el"/>
        </w:rPr>
        <w:t>Με την ίδια επιστολή ενημερώνονται για τη διαδικασία που απαιτείται να ακολουθηθεί προκειμένου το όχημα να εξαιρεθεί από το αρχείο των πιθανών ανασφάλιστων οχημάτων, όπως σε περίπτωση που έχει τηρηθεί η υποχρέωση ασφάλισης του οχήματος, υπάρχει απαλλαγή της υποχρέωσης ασφάλισής του σύμφωνα με το νόμο, μπορεί να τεκμηριωθεί η ακινησία του, διαπιστωθεί λάθος στα στοιχεία ασφάλισης ή κυκλοφορίας του.</w:t>
      </w:r>
    </w:p>
    <w:p>
      <w:pPr>
        <w:spacing w:before="240" w:after="240"/>
        <w:rPr>
          <w:lang w:val="el" w:eastAsia="el"/>
        </w:rPr>
      </w:pPr>
      <w:r>
        <w:rPr>
          <w:lang w:val="el" w:eastAsia="el"/>
        </w:rPr>
        <w:t>Επιπρόσθετα, οι πιστοποιημένοι στις ηλεκτρονικές υπηρεσίες του TAXISnet χρήστες ενημερώνονται με την ανάρτηση της ίδιας επιστολής στο λογαριασμό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Ενέργειες ιδιοκτήτη οχήματος</w:t>
      </w:r>
    </w:p>
    <w:p>
      <w:pPr>
        <w:spacing w:before="240" w:after="240"/>
        <w:rPr>
          <w:lang w:val="el" w:eastAsia="el"/>
        </w:rPr>
      </w:pPr>
      <w:r>
        <w:rPr>
          <w:lang w:val="el" w:eastAsia="el"/>
        </w:rPr>
        <w:t>Ο ιδιοκτήτης οχήματος, ο οποίος λαμβάνει ειδοποιητήρια επιστολή, προβαίνει στην ασφάλιση της αστικής ευθύνης από την κυκλοφορία του οχήματος του προσκομίζοντας σε ασφαλιστική επιχείρηση το ηλεκτρονικό παράβολο υπέρ του Ελληνικού Δημοσίου ύψους διακοσίων πενήντα (250) ευρώ και προαιρετικά την ειδοποιητήρια επιστολή.</w:t>
      </w:r>
    </w:p>
    <w:p>
      <w:pPr>
        <w:spacing w:before="240" w:after="240"/>
        <w:rPr>
          <w:lang w:val="el" w:eastAsia="el"/>
        </w:rPr>
      </w:pPr>
      <w:r>
        <w:rPr>
          <w:lang w:val="el" w:eastAsia="el"/>
        </w:rPr>
        <w:t>Ο ιδιοκτήτης που δεν υποχρεούται να προβεί σε ασφάλιση του οχήματός του για οποιοδήποτε νόμιμο λόγο, όπως σε περίπτωση που έχει τηρηθεί η υποχρέωση ασφάλισης του οχήματός του ή υπάρχει σύμφωνα με το νόμο απαλλαγή υποχρέωσης από την ασφάλισή του ή μπορεί να τεκμηριωθεί η ακινησία του ή έχει διαπιστωθεί λάθος στα στοιχεία ασφάλισης ή κυκλοφορίας του, απευθύνεται στις κατά περίπτωση αρμόδιες υπηρεσίες (Δ.Ο.Υ., Υπουργείο Υποδομών Μεταφορών και Δικτύων, Ασφαλιστική Επιχείρηση, Αστυνομία) προκειμένου να προβούν στις απαραίτητες κατά λόγο αρμοδιότητας τους ενέργειες για την ενημέρωση των δεδομένων τους και την εν συνεχεία ενημέρωση της Δ.ΗΛΕ.Δ. – από τις ανωτέρω υπηρεσίες – για τον αποχαρακτηρισμό του οχήματος ως ανασφάλιστου.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Ενέργειες ασφαλιστικής επιχείρησης οχήματος</w:t>
      </w:r>
    </w:p>
    <w:p>
      <w:pPr>
        <w:spacing w:before="240" w:after="240"/>
        <w:rPr>
          <w:lang w:val="el" w:eastAsia="el"/>
        </w:rPr>
      </w:pPr>
      <w:r>
        <w:rPr>
          <w:lang w:val="el" w:eastAsia="el"/>
        </w:rPr>
        <w:t>Κατά την έκδοση ασφαλιστηρίου συμβολαίου η ασφαλιστική επιχείρηση εξετάζει μέσω υπηρεσίας που παρέχεται από τη Δ.ΗΛΕ.Δ. εάν το όχημα που πρόκειται να ασφαλιστεί έχει εντοπισθεί ως ανασφάλιστο από την ανωτέρω διαδικασία προκειμένου να απαιτήσει το ηλεκτρονικό παράβολο του άρθρου 3 της παρούσας. Η διαδικασία δέσμευσης του ηλεκτρονικού παραβόλου διενεργείται από τη Δ.ΗΛΕ.Δ. κατά παρέκκλιση της παραγράφου 3, του άρθρου 4 της Α.Υ.Ο. με αριθμό ΠΟΛ. 1163/2013, όπως ισχύει. Η ασφαλιστική επιχείρηση υποχρεούται να ενημερώνει εντός δεκαπέντε (15) εργασίμων ημερών τη Δ.ΗΛΕ.Δ. προκειμένου να προβαίνει άμεσα στη δέσμευση του ηλεκτρονικού παραβόλου που χρησιμοποιήθηκε.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συμμόρφωσης</w:t>
      </w:r>
    </w:p>
    <w:p>
      <w:pPr>
        <w:spacing w:before="240" w:after="240"/>
        <w:rPr>
          <w:lang w:val="el" w:eastAsia="el"/>
        </w:rPr>
      </w:pPr>
      <w:r>
        <w:rPr>
          <w:lang w:val="el" w:eastAsia="el"/>
        </w:rPr>
        <w:t>Η Δ.ΗΛΕ.Δ. σε τακτά διαστήματα, δύναται να ανταλλάσσει ή να αναζητά στοιχεία από το Κέντρο Πληροφοριών, είτε μαζικά με τη μορφή αρχείου είτε μέσω υπηρεσίας (web-service) σχετικά με την κατάσταση οχημάτων που έχουν χαρακτηρισθεί ως ανασφάλιστα και να λαμβάνει ενδεικτικά και κατ’ ελάχιστον τις παρακάτω κατά περίπτωση πληροφορίες.</w:t>
      </w:r>
    </w:p>
    <w:p>
      <w:pPr>
        <w:spacing w:before="240" w:after="240"/>
        <w:rPr>
          <w:lang w:val="el" w:eastAsia="el"/>
        </w:rPr>
      </w:pPr>
      <w:r>
        <w:rPr>
          <w:lang w:val="el" w:eastAsia="el"/>
        </w:rPr>
        <w:t>Α. Σε περίπτωση ασφάλισης του οχήματος:</w:t>
      </w:r>
    </w:p>
    <w:p>
      <w:pPr>
        <w:pStyle w:val="StructureList1"/>
        <w:spacing w:before="120" w:after="0"/>
        <w:rPr>
          <w:lang w:val="el" w:eastAsia="el"/>
        </w:rPr>
      </w:pPr>
      <w:r>
        <w:rPr>
          <w:lang w:val="el" w:eastAsia="el"/>
        </w:rPr>
        <w:t>-</w:t>
      </w:r>
      <w:r>
        <w:rPr>
          <w:lang w:val="en" w:eastAsia="en"/>
        </w:rPr>
        <w:tab/>
      </w:r>
      <w:r>
        <w:rPr>
          <w:lang w:val="el" w:eastAsia="el"/>
        </w:rPr>
        <w:t>αριθμό πρωτοκόλλου ειδοποιητήριας επιστολής,</w:t>
      </w:r>
    </w:p>
    <w:p>
      <w:pPr>
        <w:pStyle w:val="StructureList1"/>
        <w:spacing w:before="120" w:after="0"/>
        <w:rPr>
          <w:lang w:val="el" w:eastAsia="el"/>
        </w:rPr>
      </w:pPr>
      <w:r>
        <w:rPr>
          <w:lang w:val="el" w:eastAsia="el"/>
        </w:rPr>
        <w:t>-</w:t>
      </w:r>
      <w:r>
        <w:rPr>
          <w:lang w:val="en" w:eastAsia="en"/>
        </w:rPr>
        <w:tab/>
      </w:r>
      <w:r>
        <w:rPr>
          <w:lang w:val="el" w:eastAsia="el"/>
        </w:rPr>
        <w:t>την ημερομηνία έναρξης της ασφάλισης,</w:t>
      </w:r>
    </w:p>
    <w:p>
      <w:pPr>
        <w:pStyle w:val="StructureList1"/>
        <w:spacing w:before="120" w:after="0"/>
        <w:rPr>
          <w:lang w:val="el" w:eastAsia="el"/>
        </w:rPr>
      </w:pPr>
      <w:r>
        <w:rPr>
          <w:lang w:val="el" w:eastAsia="el"/>
        </w:rPr>
        <w:t>-</w:t>
      </w:r>
      <w:r>
        <w:rPr>
          <w:lang w:val="en" w:eastAsia="en"/>
        </w:rPr>
        <w:tab/>
      </w:r>
      <w:r>
        <w:rPr>
          <w:lang w:val="el" w:eastAsia="el"/>
        </w:rPr>
        <w:t>την ασφαλιστική επιχείρηση,</w:t>
      </w:r>
    </w:p>
    <w:p>
      <w:pPr>
        <w:pStyle w:val="StructureList1"/>
        <w:spacing w:before="120" w:after="0"/>
        <w:rPr>
          <w:lang w:val="el" w:eastAsia="el"/>
        </w:rPr>
      </w:pPr>
      <w:r>
        <w:rPr>
          <w:lang w:val="el" w:eastAsia="el"/>
        </w:rPr>
        <w:t>-</w:t>
      </w:r>
      <w:r>
        <w:rPr>
          <w:lang w:val="en" w:eastAsia="en"/>
        </w:rPr>
        <w:tab/>
      </w:r>
      <w:r>
        <w:rPr>
          <w:lang w:val="el" w:eastAsia="el"/>
        </w:rPr>
        <w:t>το μοναδικό αριθμό του ηλεκτρονικού παραβόλου.</w:t>
      </w:r>
    </w:p>
    <w:p>
      <w:pPr>
        <w:spacing w:before="240" w:after="240"/>
        <w:rPr>
          <w:lang w:val="el" w:eastAsia="el"/>
        </w:rPr>
      </w:pPr>
      <w:r>
        <w:rPr>
          <w:lang w:val="el" w:eastAsia="el"/>
        </w:rPr>
        <w:t>Β. Σε περίπτωση μη ορθού χαρακτηρισμού ως ανασφάλιστο:</w:t>
      </w:r>
    </w:p>
    <w:p>
      <w:pPr>
        <w:pStyle w:val="StructureList1"/>
        <w:spacing w:before="120" w:after="0"/>
        <w:rPr>
          <w:lang w:val="el" w:eastAsia="el"/>
        </w:rPr>
      </w:pPr>
      <w:r>
        <w:rPr>
          <w:lang w:val="el" w:eastAsia="el"/>
        </w:rPr>
        <w:t>-</w:t>
      </w:r>
      <w:r>
        <w:rPr>
          <w:lang w:val="en" w:eastAsia="en"/>
        </w:rPr>
        <w:tab/>
      </w:r>
      <w:r>
        <w:rPr>
          <w:lang w:val="el" w:eastAsia="el"/>
        </w:rPr>
        <w:t>αριθμό πρωτοκόλλου ειδοποιητήριας επιστολής,</w:t>
      </w:r>
    </w:p>
    <w:p>
      <w:pPr>
        <w:pStyle w:val="StructureList1"/>
        <w:spacing w:before="120" w:after="0"/>
        <w:rPr>
          <w:lang w:val="el" w:eastAsia="el"/>
        </w:rPr>
      </w:pPr>
      <w:r>
        <w:rPr>
          <w:lang w:val="el" w:eastAsia="el"/>
        </w:rPr>
        <w:t>-</w:t>
      </w:r>
      <w:r>
        <w:rPr>
          <w:lang w:val="en" w:eastAsia="en"/>
        </w:rPr>
        <w:tab/>
      </w:r>
      <w:r>
        <w:rPr>
          <w:lang w:val="el" w:eastAsia="el"/>
        </w:rPr>
        <w:t>την αιτία μη ορθής εικόνας (όπως μη αποστολή του οχήματος από την ασφαλιστική επιχείρηση στο Κέντρο Πληροφοριών),</w:t>
      </w:r>
    </w:p>
    <w:p>
      <w:pPr>
        <w:pStyle w:val="StructureList1"/>
        <w:spacing w:before="120" w:after="0"/>
        <w:rPr>
          <w:lang w:val="el" w:eastAsia="el"/>
        </w:rPr>
      </w:pPr>
      <w:r>
        <w:rPr>
          <w:lang w:val="el" w:eastAsia="el"/>
        </w:rPr>
        <w:t>-</w:t>
      </w:r>
      <w:r>
        <w:rPr>
          <w:lang w:val="en" w:eastAsia="en"/>
        </w:rPr>
        <w:tab/>
      </w:r>
      <w:r>
        <w:rPr>
          <w:lang w:val="el" w:eastAsia="el"/>
        </w:rPr>
        <w:t>τα στοιχεία του ασφαλιστηρίου σε περίπτωση που υφίσταται.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Περιπτώσεις μη συμμόρφωσης</w:t>
      </w:r>
    </w:p>
    <w:p>
      <w:pPr>
        <w:spacing w:before="240" w:after="240"/>
        <w:rPr>
          <w:lang w:val="el" w:eastAsia="el"/>
        </w:rPr>
      </w:pPr>
      <w:r>
        <w:rPr>
          <w:lang w:val="el" w:eastAsia="el"/>
        </w:rPr>
        <w:t>Σε περίπτωση μη εμφάνισης και μη συμμόρφωσης του ιδιοκτήτη του οχήματος με τα οριζόμενα στην παρούσα, η Δ.ΗΛΕ.Δ. σε εύλογο χρόνο και όχι πέραν διμήνου από τη διενέργεια της διασταύρωσης για τον εντοπισμό των ανασφάλιστων, σε συγκεκριμένη ημερομηνία, αποστέλλει τα στοιχεία του οχήματος για το όποιο δεν υφίσταται ασφαλιστική κάλυψη και του ιδιοκτήτη του στην αρμόδια Αστυνομική Αρχή, για την σε βάρος του επιβολή των κυρώσεων και ποινών που προβλέπονται στις σχετικές διατάξεις του Π.Δ. 237/1986.</w:t>
      </w:r>
    </w:p>
    <w:p>
      <w:pPr>
        <w:spacing w:before="240" w:after="240"/>
        <w:rPr>
          <w:lang w:val="el" w:eastAsia="el"/>
        </w:rPr>
      </w:pPr>
      <w:r>
        <w:rPr>
          <w:lang w:val="el" w:eastAsia="el"/>
        </w:rPr>
        <w:t>Σε περίπτωση επιβολής του χρηματικού προστίμου που προβλέπεται στο εδάφιο β της παρ 4 του άρθρου 5 του Π.Δ. 237/1986, όπως ισχύει, μετά από διαπιστωθείσα παράβαση Αστυνομικής Αρχής κατά την κυκλοφορία ανασφάλιστου οχήματος, δεν απαιτείται κατά την ασφάλιση του οχήματος αυτού και η πληρωμή του παραβόλου των 250,00 ευρώ.</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διασταύρωσης</w:t>
      </w:r>
    </w:p>
    <w:p>
      <w:pPr>
        <w:spacing w:before="240" w:after="240"/>
        <w:rPr>
          <w:lang w:val="el" w:eastAsia="el"/>
        </w:rPr>
      </w:pPr>
      <w:r>
        <w:rPr>
          <w:lang w:val="el" w:eastAsia="el"/>
        </w:rPr>
        <w:t>Η Δ.ΗΛΕ.Δ. εκτελεί την περιγραφόμενη στην παρούσα διαδικασία, τουλάχιστον 2 φορές ετησίως.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ΤΡΥΦΩΝΑΣ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Κέντρο Πληροφοριών</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Γ.Γ.Δ.Ε.)</w:t>
      </w:r>
    </w:p>
    <w:p>
      <w:pPr>
        <w:spacing w:before="240" w:after="240"/>
        <w:rPr>
          <w:lang w:val="el" w:eastAsia="el"/>
        </w:rPr>
      </w:pPr>
      <w:r>
        <w:rPr>
          <w:lang w:val="el" w:eastAsia="el"/>
        </w:rPr>
        <w:t xml:space="preserve">II. </w:t>
      </w:r>
      <w:r>
        <w:rPr>
          <w:b/>
          <w:bCs/>
          <w:lang w:val="el" w:eastAsia="el"/>
        </w:rPr>
        <w:t>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 Υποδομών, Μεταφορών &amp; Δικτύων</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 Υποδομών, Μεταφορών &amp; Δικτύων</w:t>
      </w:r>
    </w:p>
    <w:p>
      <w:pPr>
        <w:pStyle w:val="StructureList1"/>
        <w:spacing w:before="120" w:after="0"/>
        <w:rPr>
          <w:lang w:val="el" w:eastAsia="el"/>
        </w:rPr>
      </w:pPr>
      <w:r>
        <w:rPr>
          <w:lang w:val="el" w:eastAsia="el"/>
        </w:rPr>
        <w:t>-</w:t>
      </w:r>
      <w:r>
        <w:rPr>
          <w:lang w:val="en" w:eastAsia="en"/>
        </w:rPr>
        <w:tab/>
      </w:r>
      <w:r>
        <w:rPr>
          <w:lang w:val="el" w:eastAsia="el"/>
        </w:rPr>
        <w:t>Γραφείο κ. Γενικού Γραμματέα Υποδομών, Μεταφορών &amp; Δικτύων</w:t>
      </w:r>
    </w:p>
    <w:p>
      <w:pPr>
        <w:pStyle w:val="StructureList1"/>
        <w:spacing w:before="120" w:after="0"/>
        <w:rPr>
          <w:lang w:val="el" w:eastAsia="el"/>
        </w:rPr>
      </w:pPr>
      <w:r>
        <w:rPr>
          <w:lang w:val="el" w:eastAsia="el"/>
        </w:rPr>
        <w:t>-</w:t>
      </w:r>
      <w:r>
        <w:rPr>
          <w:lang w:val="en" w:eastAsia="en"/>
        </w:rPr>
        <w:tab/>
      </w:r>
      <w:r>
        <w:rPr>
          <w:lang w:val="el" w:eastAsia="el"/>
        </w:rPr>
        <w:t>Γραφείο κ. Υπουργού Εσωτερικών και Διοικητικής Ανασυγκρότησης</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 Προστασίας του Πολίτη</w:t>
      </w:r>
    </w:p>
    <w:p>
      <w:pPr>
        <w:pStyle w:val="StructureList1"/>
        <w:spacing w:before="120" w:after="0"/>
        <w:rPr>
          <w:lang w:val="el" w:eastAsia="el"/>
        </w:rPr>
      </w:pPr>
      <w:r>
        <w:rPr>
          <w:lang w:val="el" w:eastAsia="el"/>
        </w:rPr>
        <w:t>-</w:t>
      </w:r>
      <w:r>
        <w:rPr>
          <w:lang w:val="en" w:eastAsia="en"/>
        </w:rPr>
        <w:tab/>
      </w:r>
      <w:r>
        <w:rPr>
          <w:lang w:val="el" w:eastAsia="el"/>
        </w:rPr>
        <w:t>Γραφείο κ. Γενικού Γραμματέα Δημόσιας Τάξης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Γενικής Γραμματέως Δημοσίων Εσόδων</w:t>
      </w:r>
    </w:p>
    <w:p>
      <w:pPr>
        <w:spacing w:before="240" w:after="240"/>
        <w:rPr>
          <w:lang w:val="el" w:eastAsia="el"/>
        </w:rPr>
      </w:pP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Γ.Γ.Δ.Ε. - Τμήματα Α’ &amp; Β’</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Έμμεσης Φορολογίας - Τμήμα Β’</w:t>
      </w:r>
    </w:p>
    <w:p>
      <w:pPr>
        <w:pStyle w:val="StructureList1"/>
        <w:spacing w:before="120" w:after="0"/>
        <w:rPr>
          <w:lang w:val="el" w:eastAsia="el"/>
        </w:rPr>
      </w:pPr>
      <w:r>
        <w:rPr>
          <w:lang w:val="el" w:eastAsia="el"/>
        </w:rPr>
        <w:t>-</w:t>
      </w:r>
      <w:r>
        <w:rPr>
          <w:lang w:val="en" w:eastAsia="en"/>
        </w:rPr>
        <w:tab/>
      </w:r>
      <w:r>
        <w:rPr>
          <w:lang w:val="el" w:eastAsia="el"/>
        </w:rPr>
        <w:t>Διεύθυνση Παροχής Φορολογικών Υπηρεσιών - Τμήμα Β’</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