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ΑΔΑ:ΩΒΨΒΗ-ΨΦΛ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ΦΕΚ Β΄428/23-2-2016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22 Φεβρουαρίου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Αριθ.Πρωτ: ΠΟΛ.1027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 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Τ.Κ:10672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Σ. Κολιοπούλου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Τηλ.: 210 3642922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Παράταση της προθεσμίας υποβολής των δηλώσεων απόδοσης και της προθεσμίας καταβολής του φόρου 3% επί του πωλούμενου ζύθου.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ΗΟ ΑΝ. ΥΠΟΥΡΓΟΣ ΟΙΚΟΝΟΜΙΚΩΝ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 διάταξη της παραγράφου 5 του άρθρου 22 του ν. 2020/1992(ΦΕΚ34Α) με την οποία παρέχεται εξουσιοδότηση στον Υπουργό Οικονομικών να παρατείνει με απόφαση, τις προθεσμίες που ορίζονται από τις κείμενες φορολογικές διατάξεις για υποβολή φορολογικών δηλώσεων,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διάταξη του άρθρου 39 του β.δ. 24-9/20-10-1958 (171 Α΄),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άρθρων 6, 40, 41, 53, 54 του ν. 4174/2013 (170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περ. 13,14, της ΥΠΟΠΑΡΑΓΡΑΦΟΥ Δ12 του άρθρου 2 του ν.4336/2015 (ΦΕΚ Α΄94).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απόφαση του αναπληρωτή Υπουργού Οικονομικών με αρ. πρωτ. ΠΟΛ.1022/11-2-2016 (ΦΕΚ Β΄ 367), με θέμα «Καθορισμός της διαδικασίας καθώς και του τύπου και του περιεχομένου της δήλωσης απόδοσης φόρου 3% επί της αξίας του πωλούμενου στο εσωτερικό ζύθου μετά τις ρυθμίσεις των διατάξεων των περ.13,14 της ΥΠΟΠΑΡΑΓΡΑΦΟΥ Δ12 του άρθρου 2 του ν.4336/2015(ΦΕΚ Α΄94).»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παραγράφου 4 του άρθρου 18 του ν.3320/2005(ΦΕΚΑ΄48/23-2-2005).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των άρθρων 81 έως και 86 του ν. 4270/2014 (ΦΕΚ Α΄143/26-6- 2014) «Αρχές δημοσιονομικής διαχείρισης και εποπτείας (ενσωμάτωση της οδηγίας 2011/85/ΕΕ) – Δημόσιο Λογιστικό)».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άρθρου 90 του Κώδικα Νομοθεσίας για την Κυβέρνηση και τα κυβερνητικά όργανα, ο οποίος κυρώθηκε με το «άρθρο πρώτο» του π.δ. 63/2005 (98 Α΄)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Απόφαση του Πρωθυπουργού Υ14/3.10.2015 (ΦΕΚ Β΄2144),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Τις διατάξεις της περ. 11 του άρθρου 3 του ν.4337/2015.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ανάγκη αντιμετώπισης των δυσχερειών που προκλήθηκαν για την εκπλήρωση των υποχρεώσεων από τους ενδιαφερόμενους κατά την υποβολή δήλωσης και απόδοσης του φόρου 3% επί του ζύθου, ενόψει της πρώτης εφαρμογής, της με αρ. πρωτ. ΠΟΛ. 1022/11-2-2016 Απόφασης του Αν.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Παρατείνουμε από τη λήξη τους μέχρι και 29/2/2016 την προθεσμία υποβολής των δηλώσεων απόδοσης και την προθεσμία καταβολής του φόρου 3% επί του πωλούμενου ζύθου [άρθρο 39 του β.δ. 24.9/20.10.1958, όπως ισχύει με την ΥΠΟΠΑΡΑΓΡΑΦΟ Δ12 των περ.13,14 του αρθ. 2 του ν.4336/2015 (ΦΕΚ Α΄94),] και αφορούν το χρονικό διάστημα από 19 Αυγούστου 2015 έως 30 Σεπτεμβρίου 2015, καθώς και από 1 Οκτωβρίου 2015 έως 31 Δεκεμβρίου 2015, αντίστοιχα.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 ΤΡΥΦΩΝ ΑΛΕΞΙΑΔΗΣ 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>Εθνικό Τυπογραφείο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Πίνακας Β, Πίνακας Ε΄, Πίνακας ΣΤ΄, Πίνακας ΙΣΤ΄ περ.31.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 και τις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Σύνδεσμος Ζυθοποιών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Κηφισού 107, 12241 ΑΙΓΑΛΕΩ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Σύνδεσμος Επιχειρήσεων Σούπερ Μάρκετ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Αδριανού 7, 15451 Ν. ΨΥΧΙΚΟ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Deals Α.Ε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Ιωνίας 124,13471 ΑΧΑΡΝΑΙ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Il. </w:t>
      </w:r>
      <w:r>
        <w:rPr>
          <w:b/>
          <w:bCs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Πίνακας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Δ/ντη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Όλες τις Φορολογικές Διευθύνσεις.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Εφαρμογής Έμμεσης Φορολογίας, Τμήμα Β΄ Τελών και Ειδικών Φορολογιών(5)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