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ΑΔΑ:7YMZH – 3IP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ΦΕΚ:1083 Β΄/18.4.2016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ΥΠΟΥΡΓΕΙΟ ΟΙΚΟΝΟΜΙΚΩΝ </w:t>
      </w:r>
      <w:r>
        <w:rPr>
          <w:lang w:val="el" w:eastAsia="el"/>
        </w:rPr>
        <w:t>Αθήνα, 7 Απριλίου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Ταχ.Κωδ. : </w:t>
      </w: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3375314-316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της προθεσμίας υποβολής των δηλώσεων φορολογίας εισοδήματος φορολογικού έτους 2015 φυσικών προσώπων του άρθρου 3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Πρωθυπουργού Υ14/3.10.2015 (Β΄2144),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με αριθ. Δ6Α 1015213 ΕΞ 2013/28.1.2013 (Β΄130 και Β΄372) Κοινή Απόφαση του Υπουργού και Υφυπουργού Οικονομικών «Μεταβίβαση αρμοδιοτήτων στον Γενικό Γραμματέα της Γενικής Γραμματείας Δημοσίων Εσόδων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Πράξη Υπουργικού Συμβουλίου 1/20.1.2016 (ΦΕΚ 18 Υ.Ο.Δ.Δ.)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3, 67 του ν.4172/2013 (Α΄167),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των άρθρων 6 και 18 του ν.4174/2013 (Α΄170),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της παραγράφου 5 του άρθρου 22 του ν.2020/1992 (Α΄34) με τις οποίες παρέχεται εξουσιοδότηση στον Υπουργό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υποβολής των δηλώσεων φορολογίας εισοδήματος φορολογικού έτους 2015 των φυσικών προσώπων του άρθρου 3 του ν.4172/2013 παρατείνεται μέχρι την 30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Ιουνίου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 Τρύφων Αλεξιάδης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Υποδομών, Ναυτιλίας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Κου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Κου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Α΄(10), Β'(10), Γ΄(5)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