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Aριθμ. οικ. 23095/Δ9.6</w:t>
      </w:r>
      <w:r>
        <w:rPr>
          <w:lang w:val="el" w:eastAsia="el"/>
        </w:rPr>
        <w:t xml:space="preserve">014 </w:t>
      </w:r>
    </w:p>
    <w:p>
      <w:pPr>
        <w:spacing w:before="240" w:after="240"/>
        <w:rPr>
          <w:lang w:val="el" w:eastAsia="el"/>
        </w:rPr>
      </w:pPr>
      <w:r>
        <w:rPr>
          <w:b/>
          <w:bCs/>
          <w:lang w:val="el" w:eastAsia="el"/>
        </w:rPr>
        <w:t>Τροποποίηση της υπ’ αριθμ. οικ. 49223/Δ9. 13322/4-11-2015 (ΦΕΚ Β’ 2423/11-11-2015)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w:t>
      </w:r>
    </w:p>
    <w:p>
      <w:pPr>
        <w:spacing w:before="240" w:after="240"/>
        <w:rPr>
          <w:lang w:val="el" w:eastAsia="el"/>
        </w:rPr>
      </w:pPr>
      <w:r>
        <w:rPr>
          <w:b/>
          <w:bCs/>
          <w:lang w:val="el" w:eastAsia="el"/>
        </w:rPr>
        <w:t>Ο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41, 50, 54 και 90 του Κώδικα Νομοθεσίας για την Κυβέρνηση και τα Κυβερνητικά όργανα, (ΦΕΚ Α’ 98),</w:t>
      </w:r>
    </w:p>
    <w:p>
      <w:pPr>
        <w:pStyle w:val="StructureList1"/>
        <w:spacing w:before="120" w:after="0"/>
        <w:rPr>
          <w:lang w:val="el" w:eastAsia="el"/>
        </w:rPr>
      </w:pPr>
      <w:r>
        <w:rPr>
          <w:lang w:val="el" w:eastAsia="el"/>
        </w:rPr>
        <w:t>β)</w:t>
      </w:r>
      <w:r>
        <w:rPr>
          <w:lang w:val="en" w:eastAsia="en"/>
        </w:rPr>
        <w:tab/>
      </w:r>
      <w:r>
        <w:rPr>
          <w:lang w:val="el" w:eastAsia="el"/>
        </w:rPr>
        <w:t>του Ν. 2362/1995 «Περί Δημοσίου Λογιστικού, Ελέγχου των δαπανών του Κράτους και άλλες διατάξεις», (ΦΕΚ Α’ 247), όπως ισχύει,</w:t>
      </w:r>
    </w:p>
    <w:p>
      <w:pPr>
        <w:pStyle w:val="StructureList1"/>
        <w:spacing w:before="120" w:after="0"/>
        <w:rPr>
          <w:lang w:val="el" w:eastAsia="el"/>
        </w:rPr>
      </w:pPr>
      <w:r>
        <w:rPr>
          <w:lang w:val="el" w:eastAsia="el"/>
        </w:rPr>
        <w:t>γ)</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(ΦΕΚ Α’ 143),</w:t>
      </w:r>
    </w:p>
    <w:p>
      <w:pPr>
        <w:pStyle w:val="StructureList1"/>
        <w:spacing w:before="120" w:after="0"/>
        <w:rPr>
          <w:lang w:val="el" w:eastAsia="el"/>
        </w:rPr>
      </w:pPr>
      <w:r>
        <w:rPr>
          <w:lang w:val="el" w:eastAsia="el"/>
        </w:rPr>
        <w:t>δ)</w:t>
      </w:r>
      <w:r>
        <w:rPr>
          <w:lang w:val="en" w:eastAsia="en"/>
        </w:rPr>
        <w:tab/>
      </w:r>
      <w:r>
        <w:rPr>
          <w:lang w:val="el" w:eastAsia="el"/>
        </w:rPr>
        <w:t>του Π.δ/τος 113/2014 «Οργανισμός Υπουργείου Εργασίας, Κοινωνικής Ασφάλισης και Πρόνοιας», (ΦΕΚ Α’ 180), όπως ισχύει,</w:t>
      </w:r>
    </w:p>
    <w:p>
      <w:pPr>
        <w:pStyle w:val="StructureList1"/>
        <w:spacing w:before="120" w:after="0"/>
        <w:rPr>
          <w:lang w:val="el" w:eastAsia="el"/>
        </w:rPr>
      </w:pPr>
      <w:r>
        <w:rPr>
          <w:lang w:val="el" w:eastAsia="el"/>
        </w:rPr>
        <w:t>ε)</w:t>
      </w:r>
      <w:r>
        <w:rPr>
          <w:lang w:val="en" w:eastAsia="en"/>
        </w:rPr>
        <w:tab/>
      </w:r>
      <w:r>
        <w:rPr>
          <w:lang w:val="el" w:eastAsia="el"/>
        </w:rPr>
        <w:t>του Π.δ/τος 475/1993 «Σύσταση Γενικής Γραμματείας Απασχόλησης και Διαχείρισης Κοινοτικών Πόρων στο Υπουργείο Εργασίας», (ΦΕΚ Α’ 205),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Π.δ/τος 73/2015 (ΦΕΚ Α’ 116)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η)</w:t>
      </w:r>
      <w:r>
        <w:rPr>
          <w:lang w:val="en" w:eastAsia="en"/>
        </w:rPr>
        <w:tab/>
      </w:r>
      <w:r>
        <w:rPr>
          <w:lang w:val="el" w:eastAsia="el"/>
        </w:rPr>
        <w:t>της αριθμ. 9151/Δ9.2741/6-3-2015 απόφασης του Πρωθυπουργού και του Υπουργού Εργασίας και Κοινωνικής Αλληλεγγύης «Διορισμός Γενικού Γραμματέα στο Υπουργείο Εργασίας και Κοινωνικής Αλληλεγγύης» (ΦΕΚ ΥΟΔΔ 127/13-3-2015),</w:t>
      </w:r>
    </w:p>
    <w:p>
      <w:pPr>
        <w:pStyle w:val="StructureList1"/>
        <w:spacing w:before="120" w:after="0"/>
        <w:rPr>
          <w:lang w:val="el" w:eastAsia="el"/>
        </w:rPr>
      </w:pPr>
      <w:r>
        <w:rPr>
          <w:lang w:val="el" w:eastAsia="el"/>
        </w:rPr>
        <w:t>θ)</w:t>
      </w:r>
      <w:r>
        <w:rPr>
          <w:lang w:val="en" w:eastAsia="en"/>
        </w:rPr>
        <w:tab/>
      </w:r>
      <w:r>
        <w:rPr>
          <w:lang w:val="el" w:eastAsia="el"/>
        </w:rPr>
        <w:t>της υπ’ αριθμ. οικ. 49223/Δ9.13322/4-11-2015 (ΦΕΚ Β’ 2423/11-11-2015)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τροποποιήθηκε με την υπ’ αριθμ. οικ. 61701/Δ9.16482 (ΦΕΚ Β’ 3024/31-12-2015) όμοια απόφαση.</w:t>
      </w:r>
    </w:p>
    <w:p>
      <w:pPr>
        <w:spacing w:before="240" w:after="240"/>
        <w:rPr>
          <w:lang w:val="el" w:eastAsia="el"/>
        </w:rPr>
      </w:pPr>
      <w:r>
        <w:rPr>
          <w:lang w:val="el" w:eastAsia="el"/>
        </w:rPr>
        <w:t>2.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Τροποποιείται η υπ’ αριθμ. οικ. 49223/Δ9.13322/ 4-11-2015 (ΦΕΚ Β’ 2423/11-11-2015)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 κατά το μέρος που αφορά το ΚΕΦΑΛΑΙΟ Β’ και ορίζεται:</w:t>
      </w:r>
    </w:p>
    <w:p>
      <w:pPr>
        <w:spacing w:before="240" w:after="240"/>
        <w:rPr>
          <w:lang w:val="el" w:eastAsia="el"/>
        </w:rPr>
      </w:pPr>
      <w:r>
        <w:rPr>
          <w:lang w:val="el" w:eastAsia="el"/>
        </w:rPr>
        <w:t>Η παράγραφος 4 του άρθρου 6 αντικαθίσταται ως εξής:</w:t>
      </w:r>
    </w:p>
    <w:p>
      <w:pPr>
        <w:spacing w:before="240" w:after="240"/>
        <w:rPr>
          <w:lang w:val="el" w:eastAsia="el"/>
        </w:rPr>
      </w:pPr>
      <w:r>
        <w:rPr>
          <w:lang w:val="el" w:eastAsia="el"/>
        </w:rPr>
        <w:t>«4. όλα τα θέματα υπηρεσιακής κατάστασης των υπαλλήλων συμπεριλαμβανομένης και της έκδοσης των πράξεων που υπογράφονται από κοινού με άλλους Υπουργούς, Αναπληρωτές Υπουργούς και Υφυπουργούς και αφορούν αποσπάσεις και μετατάξεις του πάσης φύσεως προσωπικού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spacing w:before="240" w:after="240"/>
        <w:rPr>
          <w:lang w:val="el" w:eastAsia="el"/>
        </w:rPr>
      </w:pPr>
      <w:r>
        <w:rPr>
          <w:lang w:val="el" w:eastAsia="el"/>
        </w:rPr>
        <w:t>Επίσης, η παράγραφος 1 του άρθρου 8, αντικαθίσταται ως εξής:</w:t>
      </w:r>
    </w:p>
    <w:p>
      <w:pPr>
        <w:spacing w:before="240" w:after="240"/>
        <w:rPr>
          <w:lang w:val="el" w:eastAsia="el"/>
        </w:rPr>
      </w:pPr>
      <w:r>
        <w:rPr>
          <w:lang w:val="el" w:eastAsia="el"/>
        </w:rPr>
        <w:t>«1. Η πρόταση για την έκδοση ατομικών και κανονιστικών διαταγμάτων και η έκδοση πράξεων από κοινού με άλλους Υπουργούς, Αναπληρωτές Υπουργούς και Υφυπουργούς, εκτός των πράξεων απόσπασης και μετάταξης του πάσης φύσεως προσωπικού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spacing w:before="240" w:after="240"/>
        <w:rPr>
          <w:lang w:val="el" w:eastAsia="el"/>
        </w:rPr>
      </w:pPr>
      <w:r>
        <w:rPr>
          <w:lang w:val="el" w:eastAsia="el"/>
        </w:rPr>
        <w:t>Κατά τα λοιπά ισχύει η ανωτέρω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Μαΐου 2016</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ΓΕΩΡΓΙΟΣ ΚΑΤΡΟΥΓΚΑΛΟΣ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