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PreambelText"/>
        <w:spacing w:after="240"/>
        <w:rPr>
          <w:lang w:val="el" w:eastAsia="el"/>
        </w:rPr>
      </w:pPr>
      <w:r>
        <w:rPr>
          <w:lang w:val="el" w:eastAsia="el"/>
        </w:rPr>
        <w:t>Αθήνα, 15 Ιουνίου 2016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ΠΟΛ. 1077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ΦΟΡΟΛΟΓΙΚΗΣ ΔΙΟΙΚΗΣΗΣ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ΕΦΑΡΜΟΓΗΣ ΕΜΜΕΣΗΣ ΦΟΡΟΛΟΓΙΑΣ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 Β΄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ΤΕΛΩΝ ΚΑΙ ΕΙΔΙΚΩΝ ΦΟΡΟΛΟΓΙΩΝ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Δ/νση: Σίνα 2-4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Κώδ.: 106 72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Τηλέφωνα: 210 3642570, 3644781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FAX: 210 3642251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Θέμα: Τροποποίηση του άρθρου 3 της αριθ. ΠΟΛ.1248/2011 Απόφασης Υπουργού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Οικονομικών (Β΄2854) βάσει του άρθρου 56 του ν.4389/2016 (Α΄94), καθώς και του περιεχομένου της δήλωσης απόδοσης του χρηματικού ποσού, που αφορά στο ποσοστό συμμετοχής του Ελληνικού Δημοσίου στα μικτά κέρδη.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ΑΠΟΦΑΣΗO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ΑΝΑΠΛΗΡΩΤΗΣ ΥΠΟΥΡΓΟΣ ΟΙΚΟΝΟΜΙΚΩΝ</w:t>
      </w: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του άρθρου 50 του ν.4002/2011 (180 Α΄) «Τροποποίηση της συνταξιοδοτικής νομοθεσίας του Δημοσίου - Ρυθμίσεις για την ανάπτυξη και τη δημοσιονομική εξυγίανση - Θέματα αρμοδιότητας Υπουργείων Οικονομικών, Πολιτισμού και Τουρισμού και Εργασίας και Κοινωνικής Ασφάλισης», όπως ισχύουν με τις διατάξεις του άρθρου 56 «Ρυθμίσεις επί των τυχερών παιγνίων» του ν.4389/2016 (Α΄94)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της αριθ. ΠΟΛ.1248/2011 (Β΄2854) Απόφασης του Αν. Υπουργού Οικονομικών «Υπαγωγή εταιρειών παροχής υπηρεσιών στοιχημάτων και τυχερών παιγνίων μέσω διαδικτύου στο φορολογικό καθεστώς της μεταβατικής περιόδου της παρ. 12 του άρθρου 50 του ν.4002/2011.»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του ν. 4174/2013 (170 Α΄) «Φορολογικές διαδικασίες και άλλες διατάξεις».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των άρθρων 81 έως και 86 του ν. 4270/2014 (Α΄143/26-6-2014) «Αρχές δημοσιονομικής διαχείρισης και εποπτείας (ενσωμάτωση της οδηγίας 2011/85/ΕΕ) – Δημόσιο Λογιστικό».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Τις διατάξεις του άρθρου 90 του Κώδικα Νομοθεσίας για την Κυβέρνηση και τα κυβερνητικά όργανα, ο οποίος κυρώθηκε με το «άρθρο πρώτο» του π.δ. 63/2005 (98 Α΄) «Κωδικοποίηση της νομοθεσίας για την Κυβέρνηση και τα κυβερνητικά όργανα».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Τις διατάξεις του π.δ. 111/2014 (Α΄178) «Οργανισμός του Υπουργείου Οικονομικών»,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Την Απόφαση του Πρωθυπουργού Υ14/3.10.2015 (ΦΕΚ Β΄2144), «Ανάθεση αρμοδιοτήτων στον Αναπληρωτή Υπουργό Οικονομικών Τρύφωνα Αλεξιάδη».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Την ανάγκη επανακαθορισμού του περιεχομένου της δήλωσης απόδοσης του χρηματικού ποσού, που αφορά στο ποσοστό συμμετοχής του Ελληνικού Δημοσίου στα μικτά κέρδη.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Το γεγονός ότι από τις διατάξεις της απόφασης αυτής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ΑΠΟΦΑΣΙΖΟΥΜΕ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Τροποποιείται το άρθρο 3 «Υποβολή Δηλώσεων καταβολής ποσοστού συμμετοχής του Ελληνικού Δημοσίου στα μικτά κέρδη» της αριθ. ΠΟΛ.1248/2011 Απόφασης Υπουργού Οικονομικών με θέμα «Υπαγωγή εταιρειών παροχής υπηρεσιών στοιχημάτων και τυχερών παιγνίων μέσω διαδικτύου στο φορολογικό καθεστώς της μεταβατικής περιόδου της παρ. 12 του άρθρου 50 του ν.4002/2011» ,ως προς τα σημεία, όπως παρακάτω: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Α. Εδάφιο 1 της παραγράφου 1: «Οι εταιρείες της παρούσας απόφασης αποδίδουν στο Ελληνικό Δημόσιο ποσοστό τριάντα πέντε τοις εκατό (35%) επί του μικτού τους κέρδους, το οποίο προκύπτει από τη συμμετοχή παικτών από την Ελλάδα.»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Β. Εδάφιο 5 της παραγράφου 2: «Η υποβολή των δηλώσεων των εταιρειών που έχουν υπαχθεί στο ανωτέρω φορολογικό καθεστώς και η απόδοση των ποσών συμμετοχής του Ελληνικού Δημοσίου στα μικτά κέρδη γίνεται εντός δεκαέξι (16) ημερών από το τέλος του ημερολογιακού μήνα που αφορούν.»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Εξαιρετικά κατά την πρώτη εφαρμογή των νέων ρυθμίσεων, για έσοδα που έχουν πραγματοποιηθεί από 1-1-2016 έως και 31-3-2016 και έχουν υποβληθεί έως τις 16-4-2016 οι σχετικές δηλώσεις από τις υπόχρεες εταιρείες, υποβάλλονται συμπληρωματικές δηλώσεις απόδοσης για το επιπλέον ποσοστό πέντε τοις εκατό (5%) της συμμετοχής του Ελληνικού Δημοσίου στα μικτά κέρδη έως τις 16-6-2016. Η ίδια ημερομηνία αποτελεί και την προθεσμία υποβολής των δηλώσεων μηνών Απριλίου και Μαϊου 2016.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Η παρούσα απόφαση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ΑΚΡΙΒΕΣ ΑΝΤΙΓΡΑΦΟ Ο ΑΝΑΠΛΗΡΩΤΗΣ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ΠΡΟΪΣΤΑΜΕΝΟΣ ΤΟΥ ΑΥΤΟΤΕΛΟΥΣ TΡΥΦΩΝ ΑΛΕΞΙΑΔΗΣ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ΤΜΗΜΑΤΟΣ ΔΙΟΙΚΗΣΗΣ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Συνημμένα</w:t>
      </w:r>
      <w:r>
        <w:rPr>
          <w:u w:val="single"/>
          <w:lang w:val="el" w:eastAsia="el"/>
        </w:rPr>
        <w:t>:</w:t>
      </w:r>
      <w:r>
        <w:rPr>
          <w:lang w:val="el" w:eastAsia="el"/>
        </w:rPr>
        <w:t xml:space="preserve"> Έντυπο Δήλωσης απόδοσης ποσοστού συμμετοχής του Ελληνικού Δημοσίου στα μικτά κέρδη στοιχημάτων και τυχερών παιγνίων (παρ. 5 άρθ. 50 ν. 4002/2011, όπως ισχύει με το αρ. 56 του ν. 4389/2016 )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I. </w:t>
      </w:r>
      <w:r>
        <w:rPr>
          <w:b/>
          <w:bCs/>
          <w:u w:val="single"/>
          <w:lang w:val="el" w:eastAsia="el"/>
        </w:rPr>
        <w:t>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Εθνικό Τυπογραφείο (για άμεση δημοσίευση)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Όλες οι Δ.Ο.Υ. και τα Ελεγκτικά κέντρα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Κεντρική Υπηρεσία Σ.Δ.Ο.Ε. και οι περιφερειακές Διευθύνσεις του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ΙΙ. </w:t>
      </w:r>
      <w:r>
        <w:rPr>
          <w:b/>
          <w:bCs/>
          <w:u w:val="single"/>
          <w:lang w:val="el" w:eastAsia="el"/>
        </w:rPr>
        <w:t>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Επιτροπή Εποπτείας και Ελέγχου Παιγνίων (ΕΕΕΠ)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Πλατεία Μαυροκορδάτου και Αχαρνών 17-Τ.Κ.10438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ΙΙΙ. </w:t>
      </w:r>
      <w:r>
        <w:rPr>
          <w:b/>
          <w:bCs/>
          <w:u w:val="single"/>
          <w:lang w:val="el" w:eastAsia="el"/>
        </w:rPr>
        <w:t>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Αν.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Γεν. Γραμματέα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Γεν. Διευθυντή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Γραφεία κ.κ. Γενικών Δ/ντών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Όλες τις Φορολογικές Περιφέρειες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Δ/νση Διαχ/σης Ανθρωπίνου Δυναμικού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Δ/νση Ηλεκτρονικής Διακυβέρνησης ΓΓΔΕ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Δ/νση Υποστήριξης Ηλεκτρονικών Υπηρεσιών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Δ/νση Παροχής Φορολογικών Υπηρεσιών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Δ/νση Επίλυσης Διαφορών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Αυτοτελές Τμήμα Νομικής Υποστήριξης της ΓΓΔΕ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13. 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14. Γραφείο Επικοινωνίας και Πληροφόρησης Πολιτών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15. Περιοδικό «Φορολογική Επιθεώρηση»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Δ/νση Εφαρμογής Έμμεσης Φορολογίας – Τμήμα Β΄ Τελών &amp; Ε.Φ.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