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ΠΡΑΞΕΙΣ ΠΟΥ ΕΚΔΙΔΟΝΤΑΙ ΑΠΟ ΦΟΡΕΙΣ ΠΟΥ ΕΧΟΥΝΣΥΣΤΑΘΕΙ ΜΕ ΔΙΕΘΝΕΙΣ ΣΥΜΦΩΝΙΕΣ</w:t>
      </w:r>
    </w:p>
    <w:p>
      <w:pPr>
        <w:pStyle w:val="enacting"/>
        <w:spacing w:before="120" w:after="0"/>
        <w:rPr>
          <w:lang w:val="el" w:eastAsia="el"/>
        </w:rPr>
      </w:pPr>
      <w:r>
        <w:rPr>
          <w:b/>
          <w:bCs/>
          <w:lang w:val="el" w:eastAsia="el"/>
        </w:rPr>
        <w:t>ΑΠΟΦΑΣΗ αριθ. 1/2016 ΤΗΣ ΜΕΙΚΤΗΣ ΕΠΙΤΡΟΠΗΣ ΕΕ — ΟΑΠ</w:t>
      </w:r>
      <w:r>
        <w:rPr>
          <w:lang w:val="el" w:eastAsia="el"/>
        </w:rPr>
        <w:br/>
      </w:r>
      <w:r>
        <w:rPr>
          <w:b/>
          <w:bCs/>
          <w:lang w:val="el" w:eastAsia="el"/>
        </w:rPr>
        <w:t>της 18ης Φεβρουαρίου 2016</w:t>
      </w:r>
      <w:r>
        <w:rPr>
          <w:lang w:val="el" w:eastAsia="el"/>
        </w:rPr>
        <w:br/>
      </w:r>
      <w:r>
        <w:rPr>
          <w:b/>
          <w:bCs/>
          <w:lang w:val="el" w:eastAsia="el"/>
        </w:rPr>
        <w:t xml:space="preserve">για την αντικατάσταση του πρωτοκόλλου 3 </w:t>
      </w:r>
      <w:r>
        <w:rPr>
          <w:lang w:val="el" w:eastAsia="el"/>
        </w:rPr>
        <w:br/>
      </w:r>
      <w:r>
        <w:rPr>
          <w:b/>
          <w:bCs/>
          <w:lang w:val="el" w:eastAsia="el"/>
        </w:rPr>
        <w:t>της ευρωμεσογειακής ενδιάμεσης συμφωνίας σύνδεσης γιατο εμπόριο και τη συνεργασία μεταξύ της Ευρωπαϊκής Κοινότητας, αφενός, και της Οργάνωσης για τηνΑπελευθέρωση της Παλαιστίνης (ΟΑΠ) εξ ονόματος της Παλαιστινιακής Αρχής της Δυτικής Όχθης καιτης Λωρίδας της Γάζας, αφετέρου, σχετικά με τον ορισμό της έννοιας «καταγόμενα προϊόντα» και με τιςμεθόδους διοικητικής συνεργασίας [2016/1256]</w:t>
      </w:r>
    </w:p>
    <w:p>
      <w:pPr>
        <w:pStyle w:val="PreambelText"/>
        <w:spacing w:before="240" w:after="240"/>
        <w:rPr>
          <w:lang w:val="el" w:eastAsia="el"/>
        </w:rPr>
      </w:pPr>
      <w:r>
        <w:rPr>
          <w:lang w:val="el" w:eastAsia="el"/>
        </w:rPr>
        <w:t>Η ΜΕΙΚΤΗ ΕΠΙΤΡΟΠΗ ΕΕ — ΟΑΠ,</w:t>
      </w:r>
    </w:p>
    <w:p>
      <w:pPr>
        <w:pStyle w:val="PreambelText"/>
        <w:spacing w:before="240" w:after="240"/>
        <w:rPr>
          <w:lang w:val="el" w:eastAsia="el"/>
        </w:rPr>
      </w:pPr>
      <w:r>
        <w:rPr>
          <w:lang w:val="el" w:eastAsia="el"/>
        </w:rPr>
        <w:t>Έχοντας υπόψη την ευρωμεσογειακή ενδιάμεση συμφωνία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w:t>
      </w:r>
      <w:r>
        <w:rPr>
          <w:sz w:val="30"/>
          <w:szCs w:val="30"/>
          <w:vertAlign w:val="superscript"/>
          <w:lang w:val="el" w:eastAsia="el"/>
        </w:rPr>
        <w:t>1</w:t>
      </w:r>
      <w:r>
        <w:rPr>
          <w:lang w:val="el" w:eastAsia="el"/>
        </w:rPr>
        <w:t>), και ιδίως το άρθρο 25,</w:t>
      </w:r>
    </w:p>
    <w:p>
      <w:pPr>
        <w:pStyle w:val="PreambelText"/>
        <w:spacing w:before="240" w:after="240"/>
        <w:rPr>
          <w:lang w:val="el" w:eastAsia="el"/>
        </w:rPr>
      </w:pPr>
      <w:r>
        <w:rPr>
          <w:lang w:val="el" w:eastAsia="el"/>
        </w:rPr>
        <w:t>Έχοντας υπόψη το πρωτόκολλο 3 της ευρωμεσογειακής ενδιάμεσης συμφωνίας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σχετικά με τον ορισμό της έννοιας «καταγόμενα προϊόντα» και με τις μεθόδους διοικητικής συνεργασίας,</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Το άρθρο 25 της ευρωμεσογειακής ενδιάμεσης συμφωνίας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(«η συμφωνία») παραπέμπει στο πρωτόκολλο 3 της συμφωνίας («πρωτόκολλο 3») το οποίο καθορίζει τους κανόνες καταγωγής και προβλέπει τη σώρευση της καταγωγής μεταξύ της Ευρωπαϊκής Ένωσης, της Οργάνωσης για την Απελευθέρωση της Παλαιστίνης (ΟΑΠ) εξ ονόματος της Παλαιστινιακής Αρχής της Δυτικής Οχθης και της Λωρίδας της Γάζας και των άλλων συμβαλλόμενων μερών της περιφερειακής σύμβασης για πανευρωμεσογειακούς προτιμησιακούς κανόνες καταγωγής (</w:t>
      </w:r>
      <w:r>
        <w:rPr>
          <w:sz w:val="30"/>
          <w:szCs w:val="30"/>
          <w:vertAlign w:val="superscript"/>
          <w:lang w:val="el" w:eastAsia="el"/>
        </w:rPr>
        <w:t>2</w:t>
      </w:r>
      <w:r>
        <w:rPr>
          <w:lang w:val="el" w:eastAsia="el"/>
        </w:rPr>
        <w:t>) («η σύμβαση»).</w:t>
      </w:r>
    </w:p>
    <w:p>
      <w:pPr>
        <w:pStyle w:val="PreambelText"/>
        <w:spacing w:before="240" w:after="240"/>
        <w:rPr>
          <w:lang w:val="el" w:eastAsia="el"/>
        </w:rPr>
      </w:pPr>
      <w:r>
        <w:rPr>
          <w:lang w:val="el" w:eastAsia="el"/>
        </w:rPr>
        <w:t>(2) Το άρθρο 39 του πρωτοκόλλου 3 προβλέπει ότι η μεικτή επιτροπή που προβλέπεται στο άρθρο 63 της συμφωνίας μπορεί να αποφασίσει να τροποποιήσει τις διατάξεις του ανωτέρω πρωτοκόλλου.</w:t>
      </w:r>
    </w:p>
    <w:p>
      <w:pPr>
        <w:pStyle w:val="PreambelText"/>
        <w:spacing w:before="240" w:after="240"/>
        <w:rPr>
          <w:lang w:val="el" w:eastAsia="el"/>
        </w:rPr>
      </w:pPr>
      <w:r>
        <w:rPr>
          <w:lang w:val="el" w:eastAsia="el"/>
        </w:rPr>
        <w:t>(3) Η σύμβαση έχει ως στόχο να αντικαταστήσει τα ισχύοντα πρωτόκολλα για τους κανόνες καταγωγής μεταξύ των χωρών της πανευρωμεσογειακής ζώνης με ενιαία νομοθετική πράξη.</w:t>
      </w:r>
    </w:p>
    <w:p>
      <w:pPr>
        <w:pStyle w:val="PreambelText"/>
        <w:spacing w:before="240" w:after="240"/>
        <w:rPr>
          <w:lang w:val="el" w:eastAsia="el"/>
        </w:rPr>
      </w:pPr>
      <w:r>
        <w:rPr>
          <w:lang w:val="el" w:eastAsia="el"/>
        </w:rPr>
        <w:t>(4) Η Ευρωπαϊκή Ένωση και η Οργάνωση για την Απελευθέρωση της Παλαιστίνης (ΟΑΠ) εξ ονόματος της Παλαιστινιακής Αρχής της Δυτικής Οχθης και της Λωρίδας της Γάζας υπέγραψαν τη σύμβαση στις 15 Ιουνίου 2011 και στις 18 Σεπτεμβρίου 2013, αντίστοιχα.</w:t>
      </w:r>
    </w:p>
    <w:p>
      <w:pPr>
        <w:pStyle w:val="PreambelText"/>
        <w:spacing w:before="240" w:after="240"/>
        <w:rPr>
          <w:lang w:val="el" w:eastAsia="el"/>
        </w:rPr>
      </w:pPr>
      <w:r>
        <w:rPr>
          <w:lang w:val="el" w:eastAsia="el"/>
        </w:rPr>
        <w:t>(5) Η Ευρωπαϊκή Ένωση και η Οργάνωση για την Απελευθέρωση της Παλαιστίνης (ΟΑΠ) εξ ονόματος της Παλαιστινιακής Αρχής της Δυτικής Οχθης και της Λωρίδας της Γάζας κατέθεσαν τα έγγραφα αποδοχής τους στον θεματοφύλακα της σύμβασης στις 26 Μαρτίου 2012 και στις 27 Μαΐου 2014, αντίστοιχα. Κατά συνέπεια, κατ' εφαρμογή του άρθρου 10 παράγραφος 3 της σύμβασης, η σύμβαση τέθηκε σε ισχύ τόσο για την Ένωση όσο και για την Οργάνωση για την Απελευθέρωση της Παλαιστίνης (ΟΑΠ) εξ ονόματος της Παλαιστινιακής Αρχής της Δυτικής Οχθης και της Λωρίδας της Γάζας την 1η Μαΐου 2012 και την 1η Ιουλίου 2014, αντίστοιχα.</w:t>
      </w:r>
    </w:p>
    <w:p>
      <w:pPr>
        <w:pStyle w:val="PreambelText"/>
        <w:spacing w:before="240" w:after="240"/>
        <w:rPr>
          <w:lang w:val="el" w:eastAsia="el"/>
        </w:rPr>
      </w:pPr>
      <w:r>
        <w:rPr>
          <w:lang w:val="el" w:eastAsia="el"/>
        </w:rPr>
        <w:t>(6) Το πρωτόκολλο 3 θα πρέπει επομένως να αντικατασταθεί από νέο πρωτόκολλο που παραπέμπει στη σύμβαση,</w:t>
      </w:r>
    </w:p>
    <w:p>
      <w:pPr>
        <w:pStyle w:val="PreambelText"/>
        <w:spacing w:before="240" w:after="240"/>
        <w:rPr>
          <w:lang w:val="el" w:eastAsia="el"/>
        </w:rPr>
      </w:pPr>
      <w:r>
        <w:rPr>
          <w:lang w:val="el" w:eastAsia="el"/>
        </w:rPr>
        <w:t>ΕΞΕΔΩΣΕ ΤΗΝ ΠΑΡΟΥΣΑ ΑΠΟΦΑΣΗ:</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Το πρωτόκολλο 3 της ευρωμεσογειακής ενδιάμεσης συμφωνίας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σχετικά με τον ορισμό της έννοιας «καταγόμενα προϊόντα» και με τις μεθόδους διοικητικής συνεργασίας αντικαθίσταται από το κείμενο που παρατίθεται στο παράρτημα της παρούσας απόφασης.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Η παρούσα απόφαση αρχίζει να ισχύει την ημερομηνία της έκδοσής της.</w:t>
      </w:r>
    </w:p>
    <w:p>
      <w:pPr>
        <w:spacing w:before="240" w:after="240"/>
        <w:rPr>
          <w:lang w:val="el" w:eastAsia="el"/>
        </w:rPr>
      </w:pPr>
      <w:r>
        <w:rPr>
          <w:lang w:val="el" w:eastAsia="el"/>
        </w:rPr>
        <w:t>Εφαρμόζεται από την 1η Μαρτίου 2016.</w:t>
      </w:r>
    </w:p>
    <w:p>
      <w:pPr>
        <w:spacing w:before="240" w:after="240"/>
        <w:rPr>
          <w:lang w:val="el" w:eastAsia="el"/>
        </w:rPr>
      </w:pPr>
      <w:r>
        <w:rPr>
          <w:lang w:val="el" w:eastAsia="el"/>
        </w:rPr>
        <w:t>Βρυξέλλες, 18 Φεβρουαρίου 2016.</w:t>
      </w:r>
    </w:p>
    <w:p>
      <w:pPr>
        <w:spacing w:before="240" w:after="240"/>
        <w:rPr>
          <w:lang w:val="el" w:eastAsia="el"/>
        </w:rPr>
      </w:pPr>
      <w:r>
        <w:rPr>
          <w:i/>
          <w:iCs/>
          <w:lang w:val="el" w:eastAsia="el"/>
        </w:rPr>
        <w:t>Για τη Μεικτή Επιτροπή</w:t>
      </w:r>
    </w:p>
    <w:p>
      <w:pPr>
        <w:spacing w:before="240" w:after="240"/>
        <w:rPr>
          <w:lang w:val="el" w:eastAsia="el"/>
        </w:rPr>
      </w:pPr>
      <w:r>
        <w:rPr>
          <w:i/>
          <w:iCs/>
          <w:lang w:val="el" w:eastAsia="el"/>
        </w:rPr>
        <w:t>Ο Πρόεδρος</w:t>
      </w:r>
    </w:p>
    <w:p>
      <w:pPr>
        <w:spacing w:before="240" w:after="240"/>
        <w:rPr>
          <w:lang w:val="el" w:eastAsia="el"/>
        </w:rPr>
      </w:pPr>
      <w:r>
        <w:rPr>
          <w:lang w:val="el" w:eastAsia="el"/>
        </w:rPr>
        <w:t>C. BERGER</w:t>
      </w:r>
    </w:p>
    <w:p>
      <w:pPr>
        <w:spacing w:before="240" w:after="240"/>
        <w:rPr>
          <w:lang w:val="el" w:eastAsia="el"/>
        </w:rPr>
      </w:pPr>
      <w:r>
        <w:rPr>
          <w:i/>
          <w:iCs/>
          <w:lang w:val="el" w:eastAsia="el"/>
        </w:rPr>
        <w:t>ΠΑΡΑΡΤΗΜΑ</w:t>
      </w:r>
    </w:p>
    <w:p>
      <w:pPr>
        <w:spacing w:before="240" w:after="240"/>
        <w:rPr>
          <w:lang w:val="el" w:eastAsia="el"/>
        </w:rPr>
      </w:pPr>
      <w:r>
        <w:rPr>
          <w:b/>
          <w:bCs/>
          <w:lang w:val="el" w:eastAsia="el"/>
        </w:rPr>
        <w:t>ΠΡΩΤΟΚΟΛΛΟ 3</w:t>
      </w:r>
    </w:p>
    <w:p>
      <w:pPr>
        <w:spacing w:before="240" w:after="240"/>
        <w:rPr>
          <w:lang w:val="el" w:eastAsia="el"/>
        </w:rPr>
      </w:pPr>
      <w:r>
        <w:rPr>
          <w:b/>
          <w:bCs/>
          <w:lang w:val="el" w:eastAsia="el"/>
        </w:rPr>
        <w:t>σχετικά με τον ορισμό της έννοιας «καταγόμενα προϊόντα» και με τις μεθόδους διοικητικής συνεργασίας</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Ισχύοντες κανόνες καταγωγής</w:t>
      </w:r>
    </w:p>
    <w:p>
      <w:pPr>
        <w:pStyle w:val="MainText"/>
        <w:spacing w:before="120" w:after="0"/>
        <w:rPr>
          <w:lang w:val="el" w:eastAsia="el"/>
        </w:rPr>
      </w:pPr>
      <w:r>
        <w:rPr>
          <w:b/>
          <w:bCs/>
          <w:lang w:val="el" w:eastAsia="el"/>
        </w:rPr>
        <w:t>1.</w:t>
      </w:r>
      <w:r>
        <w:rPr>
          <w:lang w:val="el" w:eastAsia="el"/>
        </w:rPr>
        <w:t xml:space="preserve"> Για την εφαρμογή της παρούσας συμφωνίας εφαρμόζονται το προσάρτημα I και οι σχετικές διατάξεις του προσαρτήματος II της περιφερειακής σύμβασης για πανευρωμεσογειακούς προτιμησιακούς κανόνες καταγωγής (</w:t>
      </w:r>
      <w:r>
        <w:rPr>
          <w:sz w:val="30"/>
          <w:szCs w:val="30"/>
          <w:vertAlign w:val="superscript"/>
          <w:lang w:val="el" w:eastAsia="el"/>
        </w:rPr>
        <w:t>1</w:t>
      </w:r>
      <w:r>
        <w:rPr>
          <w:lang w:val="el" w:eastAsia="el"/>
        </w:rPr>
        <w:t>) («η σύμβαση»).</w:t>
      </w:r>
    </w:p>
    <w:p>
      <w:pPr>
        <w:pStyle w:val="MainText"/>
        <w:spacing w:before="120" w:after="0"/>
        <w:rPr>
          <w:lang w:val="el" w:eastAsia="el"/>
        </w:rPr>
      </w:pPr>
      <w:r>
        <w:rPr>
          <w:b/>
          <w:bCs/>
          <w:lang w:val="el" w:eastAsia="el"/>
        </w:rPr>
        <w:t>2.</w:t>
      </w:r>
      <w:r>
        <w:rPr>
          <w:lang w:val="el" w:eastAsia="el"/>
        </w:rPr>
        <w:t xml:space="preserve"> Όλες οι παραπομπές στη «συναφή συμφωνία» στο προσάρτημα I και στις σχετικές διατάξεις του προσαρτήματος II της περιφερειακής σύμβασης για πανευρωμεσογειακούς προτιμησιακούς κανόνες καταγωγής νοούνται ως παραπομπές στην παρούσα συμφωνία.</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Διευθέτηση διαφορών</w:t>
      </w:r>
    </w:p>
    <w:p>
      <w:pPr>
        <w:pStyle w:val="MainText"/>
        <w:spacing w:before="120" w:after="0"/>
        <w:rPr>
          <w:lang w:val="el" w:eastAsia="el"/>
        </w:rPr>
      </w:pPr>
      <w:r>
        <w:rPr>
          <w:b/>
          <w:bCs/>
          <w:lang w:val="el" w:eastAsia="el"/>
        </w:rPr>
        <w:t>1.</w:t>
      </w:r>
      <w:r>
        <w:rPr>
          <w:lang w:val="el" w:eastAsia="el"/>
        </w:rPr>
        <w:t xml:space="preserve"> Όταν ανακύπτουν διαφορές σε σχέση με τις διαδικασίες ελέγχου του άρθρου 32 του προσαρτήματος I της σύμβασης, οι οποίες δεν μπορούν να διευθετηθούν μεταξύ των τελωνειακών αρχών που ζητούν τον έλεγχο και των τελωνειακών αρχών που είναι υπεύθυνες για τη διενέργειά του, αυτές υποβάλλονται στη μεικτή επιτροπή.</w:t>
      </w:r>
    </w:p>
    <w:p>
      <w:pPr>
        <w:pStyle w:val="MainText"/>
        <w:spacing w:before="120" w:after="0"/>
        <w:rPr>
          <w:lang w:val="el" w:eastAsia="el"/>
        </w:rPr>
      </w:pPr>
      <w:r>
        <w:rPr>
          <w:b/>
          <w:bCs/>
          <w:lang w:val="el" w:eastAsia="el"/>
        </w:rPr>
        <w:t>2.</w:t>
      </w:r>
      <w:r>
        <w:rPr>
          <w:lang w:val="el" w:eastAsia="el"/>
        </w:rPr>
        <w:t xml:space="preserve"> Σε όλες τις περιπτώσεις οι διαφορές μεταξύ του εισαγωγέα και των τελωνειακών αρχών της χώρας εισαγωγής διευθετούνται βάσει της νομοθεσίας της εν λόγω χώρας.</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Τροποποιήσεις του πρωτοκόλλου</w:t>
      </w:r>
    </w:p>
    <w:p>
      <w:pPr>
        <w:spacing w:before="240" w:after="240"/>
        <w:rPr>
          <w:lang w:val="el" w:eastAsia="el"/>
        </w:rPr>
      </w:pPr>
      <w:r>
        <w:rPr>
          <w:lang w:val="el" w:eastAsia="el"/>
        </w:rPr>
        <w:t>Η μεικτή επιτροπή μπορεί να αποφασίσει να τροποποιήσει τις διατάξεις του παρόντος πρωτοκόλλου.</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Αποχώρηση από τη σύμβαση</w:t>
      </w:r>
    </w:p>
    <w:p>
      <w:pPr>
        <w:pStyle w:val="MainText"/>
        <w:spacing w:before="120" w:after="0"/>
        <w:rPr>
          <w:lang w:val="el" w:eastAsia="el"/>
        </w:rPr>
      </w:pPr>
      <w:r>
        <w:rPr>
          <w:b/>
          <w:bCs/>
          <w:lang w:val="el" w:eastAsia="el"/>
        </w:rPr>
        <w:t>1.</w:t>
      </w:r>
      <w:r>
        <w:rPr>
          <w:lang w:val="el" w:eastAsia="el"/>
        </w:rPr>
        <w:t xml:space="preserve"> Εάν είτε η Ευρωπαϊκή Ένωση είτε η Οργάνωση για την Απελευθέρωση της Παλαιστίνης (ΟΑΠ) εξ ονόματος της Παλαιστινιακής Αρχής της Δυτικής Οχθης και της Λωρίδας της Γάζας γνωστοποιήσει γραπτώς στον θεματοφύλακα της σύμβασης την πρόθεσή της να αποχωρήσει από τη σύμβαση σύμφωνα με το άρθρο 9 της σύμβασης, η Ένωση και η Οργάνωση για την Απελευθέρωση της Παλαιστίνης (ΟΑΠ) εξ ονόματος της Παλαιστινιακής Αρχής της Δυτικής Οχθης και της Λωρίδας της Γάζας αρχίζουν αμέσως διαπραγματεύσεις όσον αφορά τους κανόνες καταγωγής για την εφαρμογή της παρούσας συμφωνίας.</w:t>
      </w:r>
    </w:p>
    <w:p>
      <w:pPr>
        <w:pStyle w:val="MainText"/>
        <w:spacing w:before="120" w:after="0"/>
        <w:rPr>
          <w:lang w:val="el" w:eastAsia="el"/>
        </w:rPr>
      </w:pPr>
      <w:r>
        <w:rPr>
          <w:b/>
          <w:bCs/>
          <w:lang w:val="el" w:eastAsia="el"/>
        </w:rPr>
        <w:t>2.</w:t>
      </w:r>
      <w:r>
        <w:rPr>
          <w:lang w:val="el" w:eastAsia="el"/>
        </w:rPr>
        <w:t xml:space="preserve"> Μέχρι την έναρξη ισχύος των εν λόγω κανόνων καταγωγής που αποτέλεσαν πρόσφατα αντικείμενο διαπραγμάτευσης οι κανόνες καταγωγής που περιλαμβάνονται στο προσάρτημα I της σύμβασης και, ενδεχομένως, οι συναφείς διατάξεις του προσαρτήματος II της σύμβασης που εφαρμόζονταν τη στιγμή της αποχώρησης εξακολουθούν να εφαρμόζονται στην παρούσα συμφωνία. Ωστόσο, από τη στιγμή της αποχώρησης οι κανόνες καταγωγής που περιλαμβάνονται στο προσάρτημα I και, ενδεχομένως, οι σχετικές διατάξεις του προσαρτήματος II ερμηνεύονται κατά τρόπο που επιτρέπει τη διμερή σώρευση μόνο μεταξύ της Ευρωπαϊκής Ένωσης και της Οργάνωσης για την απελευθέρωση της Παλαιστίνης (ΟΑΠ) εξ ονόματος της Παλαιστινιακής Αρχής της Δυτικής Οχθης και της Λωρίδας της Γάζας.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