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 ΗΛΕΚΤΡΟΝΙΚΩΝ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Fax : 210 3375077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w:t>
      </w:r>
    </w:p>
    <w:p>
      <w:pPr>
        <w:spacing w:before="240" w:after="240"/>
        <w:rPr>
          <w:lang w:val="el" w:eastAsia="el"/>
        </w:rPr>
      </w:pPr>
      <w:r>
        <w:rPr>
          <w:lang w:val="el" w:eastAsia="el"/>
        </w:rPr>
        <w:t>έκτακτων αναγκών που προέκυψαν λόγω εκδήλωσης πυρκαγιάς στις 25.08.2016 στις Δημοτικές Ενότητες Ομηρούπολης και Αμανής του Δήμου Χίου της Π.Ε. Χίου.</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6. Την με αρ. πρωτ. 6121/30.08.2016 Απόφαση του Γενικού Γραμματέα Πολιτικής Προστασίας (ΑΔΑ: 7Φ6Π465ΦΘΕ-Ω8Ο) με την οποία κηρύχθηκαν σε κατάσταση Έκτακτης Ανάγκης Πολιτικής Προστασίας οι Δημοτικές Ενότητες Ομηρούπολης και Αμανής του Δήμου Χίου της Π.Ε. Χίου λόγω των έκτακτων αναγκών που προέκυψαν λόγω εκδήλωσης πυρκαγιάς στις 25.08.2016.</w:t>
      </w:r>
    </w:p>
    <w:p>
      <w:pPr>
        <w:spacing w:before="240" w:after="240"/>
        <w:rPr>
          <w:lang w:val="el" w:eastAsia="el"/>
        </w:rPr>
      </w:pPr>
      <w:r>
        <w:rPr>
          <w:lang w:val="el" w:eastAsia="el"/>
        </w:rPr>
        <w:t>7. Το γεγονός ότι η εν λόγω πυρκαγιά είχε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30/11/2016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Δημοτικές Ενότητες Ομηρούπολης και Αμανής του Δήμου Χίου της Π.Ε. Χίου που λήγουν ή έληξαν από την ημερομηνία έκδοσης της παρούσας έως και 30/11/2016.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30/11/2016 η πληρωμή των βεβαιωμένων και ληξιπροθέσμων, από την ημερομηνία έκδοσης της παρούσης,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