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 106688/ 13.10.2016</w:t>
      </w:r>
    </w:p>
    <w:p>
      <w:pPr>
        <w:pStyle w:val="Title"/>
        <w:spacing w:before="120" w:after="360"/>
        <w:rPr>
          <w:lang w:val="el" w:eastAsia="el"/>
        </w:rPr>
      </w:pPr>
      <w:r>
        <w:rPr>
          <w:lang w:val="el" w:eastAsia="el"/>
        </w:rPr>
        <w:t>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w:t>
      </w:r>
    </w:p>
    <w:p>
      <w:pPr>
        <w:pStyle w:val="Title"/>
        <w:spacing w:before="120" w:after="360"/>
        <w:rPr>
          <w:lang w:val="el" w:eastAsia="el"/>
        </w:rPr>
      </w:pPr>
      <w:r>
        <w:rPr>
          <w:b/>
          <w:bCs/>
          <w:lang w:val="el" w:eastAsia="el"/>
        </w:rPr>
        <w:t>Αριθ.106688</w:t>
      </w:r>
    </w:p>
    <w:p>
      <w:pPr>
        <w:pStyle w:val="PreambelText"/>
        <w:spacing w:before="240" w:after="240"/>
        <w:rPr>
          <w:lang w:val="el" w:eastAsia="el"/>
        </w:rPr>
      </w:pPr>
      <w:r>
        <w:rPr>
          <w:lang w:val="el" w:eastAsia="el"/>
        </w:rPr>
        <w:t>(ΦΕΚ Β' 3315/14-10-2016)</w:t>
      </w:r>
    </w:p>
    <w:p>
      <w:pPr>
        <w:pStyle w:val="PreambelText"/>
        <w:spacing w:before="240" w:after="240"/>
        <w:rPr>
          <w:lang w:val="el" w:eastAsia="el"/>
        </w:rPr>
      </w:pPr>
      <w:r>
        <w:rPr>
          <w:lang w:val="el" w:eastAsia="el"/>
        </w:rPr>
        <w:t>ΟΙ ΥΠΟΥΡΓΟΙ ΟΙΚΟΝΟΜΙΑΣ, ΑΝΑΠΤΥΞΗΣ ΚΑΙ ΤΟΥΡΙΣΜΟΥ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(Α'117),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Επιτροπής.</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 άρθρο 10 του Ν. 4337/2015 (Α'129).</w:t>
      </w:r>
    </w:p>
    <w:p>
      <w:pPr>
        <w:pStyle w:val="PreambelText"/>
        <w:spacing w:before="240" w:after="240"/>
        <w:rPr>
          <w:lang w:val="el" w:eastAsia="el"/>
        </w:rPr>
      </w:pPr>
      <w:r>
        <w:rPr>
          <w:lang w:val="el" w:eastAsia="el"/>
        </w:rPr>
        <w:t>4. Το άρθρο 90 του «Κώδικα για την Κυβέρνηση και Κυβερνητικά Όργανα» που κυρώθηκε με το άρθρο πρώτο του Π.δ. 63/2005, (Α'98).</w:t>
      </w:r>
    </w:p>
    <w:p>
      <w:pPr>
        <w:pStyle w:val="PreambelText"/>
        <w:spacing w:before="240" w:after="240"/>
        <w:rPr>
          <w:lang w:val="el" w:eastAsia="el"/>
        </w:rPr>
      </w:pPr>
      <w:r>
        <w:rPr>
          <w:lang w:val="el" w:eastAsia="el"/>
        </w:rPr>
        <w:t>5. Τις διατάξεις του Π.δ. 116/2014 «Οργανισμός του Υπουργείου Ανάπτυξης και Ανταγωνιστικότητας» (Α'185), όπως ισχύει.</w:t>
      </w:r>
    </w:p>
    <w:p>
      <w:pPr>
        <w:pStyle w:val="PreambelText"/>
        <w:spacing w:before="240" w:after="240"/>
        <w:rPr>
          <w:lang w:val="el" w:eastAsia="el"/>
        </w:rPr>
      </w:pPr>
      <w:r>
        <w:rPr>
          <w:lang w:val="el" w:eastAsia="el"/>
        </w:rPr>
        <w:t>6. Τις διατάξεις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(Α'114).</w:t>
      </w:r>
    </w:p>
    <w:p>
      <w:pPr>
        <w:pStyle w:val="PreambelText"/>
        <w:spacing w:before="240" w:after="240"/>
        <w:rPr>
          <w:lang w:val="el" w:eastAsia="el"/>
        </w:rPr>
      </w:pPr>
      <w:r>
        <w:rPr>
          <w:lang w:val="el" w:eastAsia="el"/>
        </w:rPr>
        <w:t>7. Το Προεδρικό διάταγμα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8. Την κοινή απόφαση του Πρωθυπουργού και του Υπουργού Οικονομίας, Ανάπτυξης και Τουρισμού με αρ. 105755/14.10.2015 «Ανάθεση αρμοδιοτήτων στον Υφυπουργό Οικονομίας, Ανάπτυξης και Τουρισμού Αλέξανδρο Χαρίτση» (Β'2222), όπως τροποποιήθηκε και ισχύει με τις υπ' αρ. 40082/12.04.2016 (Β'1054) και 79700/27.07.2016 (Β'2338) αποφάσεις, καθώς και την υπ'αρ. Υ29 απόφαση του Πρωθυπουργού «Ανάθεση αρμοδιοτήτων στον Αναπληρωτή Υπουργό Οικονομικών Γεώργιο Χουλιαράκη» (Β' 2168/9-10-2015).</w:t>
      </w:r>
    </w:p>
    <w:p>
      <w:pPr>
        <w:pStyle w:val="PreambelText"/>
        <w:spacing w:before="240" w:after="240"/>
        <w:rPr>
          <w:lang w:val="el" w:eastAsia="el"/>
        </w:rPr>
      </w:pPr>
      <w:r>
        <w:rPr>
          <w:lang w:val="el" w:eastAsia="el"/>
        </w:rPr>
        <w:t>9. Την υπ' αριθμ. ΓΔΟΥ 209/3.10.2016 εισήγηση του Προϊστάμενου της Γενικής Διεύθυνσης Οικονομικών Υπηρεσιών του Υπουργείου Οικονομίας, Ανάπτυξης και Τουρισμού (παρ.5. ε' του άρθρου 24 Ν. 4072/2014).</w:t>
      </w:r>
    </w:p>
    <w:p>
      <w:pPr>
        <w:pStyle w:val="PreambelText"/>
        <w:spacing w:before="240" w:after="240"/>
        <w:rPr>
          <w:lang w:val="el" w:eastAsia="el"/>
        </w:rPr>
      </w:pPr>
      <w:r>
        <w:rPr>
          <w:lang w:val="el" w:eastAsia="el"/>
        </w:rPr>
        <w:t xml:space="preserve">10. Το γεγονός ότι από τις διατάξεις της παρούσας απόφασης προκαλείται δαπάνη σε βάρος του κρατικού προϋπολογισμού, το ύψος της οποίας αναφέρεται στο άρθρο 3 της παρούσας,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pStyle w:val="MainText"/>
        <w:spacing w:before="120" w:after="0"/>
        <w:rPr>
          <w:lang w:val="el" w:eastAsia="el"/>
        </w:rPr>
      </w:pPr>
      <w:r>
        <w:rPr>
          <w:b/>
          <w:bCs/>
          <w:lang w:val="el" w:eastAsia="el"/>
        </w:rPr>
        <w:t>1.</w:t>
      </w:r>
      <w:r>
        <w:rPr>
          <w:lang w:val="el" w:eastAsia="el"/>
        </w:rPr>
        <w:t xml:space="preserve"> Το συνολικό ποσό της φορολογικής απαλλαγής των καθεστώτων του Ν. 4399/2016 που προκηρύσσονται το έτος 2016,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Των ενισχύσεων Μηχανολογικού Εξοπλισμού, στα εκατόν πενήντα εκατομμύρια (150.000.000) ευρώ,</w:t>
      </w:r>
    </w:p>
    <w:p>
      <w:pPr>
        <w:spacing w:before="240" w:after="240"/>
        <w:rPr>
          <w:lang w:val="el" w:eastAsia="el"/>
        </w:rPr>
      </w:pPr>
      <w:r>
        <w:rPr>
          <w:lang w:val="el" w:eastAsia="el"/>
        </w:rPr>
        <w:t>β. της Γενικής Επιχειρηματικότητας, στα διακόσια ογδόντα εκατομμύρια (280.000.000)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των Νέων Ανεξάρτητων ΜΜΕ, στα επτά εκατομμύρια (7.000.000)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συνολικό ποσό της φορολογικής απαλλαγής και του οφέλους από τη σταθεροποίηση του συντελεστή φορολογίας εισοδήματος του καθεστώτος του Ν. 4399/2016 που προκηρύσσεται το έτος 2016 και αφορά τις επενδύσεις Μείζονος Μεγέθους καθορίζεται στα εκατό εκατομμύρια (100.000.000) ευρώ. 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2016, καθορίζεται ως εξής: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Για το καθεστώς,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 Της Γενικής Επιχειρηματικότητας, στα εκατόν πενήντα εκατομμύρια (150.000.000) ευρώ.</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β. των Νέων Ανεξάρτητων ΜΜΕ, στα εκατό σαράντα εκατομμύρια (140.000.000) ευρώ.</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του Υπουργείου Οικονομίας και Ανάπτυξης, στον οποίο εγγράφεται η δαπάνη των διακοσίων ενενήντα εκατομμυρίων (290.000.000) ευρώ, και δύναται να προέλθουν από εθνικούς πόρους ή τα Ευρωπαϊκά Διαρθρωτικά και Επενδυτικά Ταμεία.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(2017) δεν θα προκύψει δαπάνη σε βάρος του Προϋπολογισμού Δημοσίων Επενδύσεων και απώλεια φορολογικών εσόδων.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 για το επόμενο έτος (2018) η δαπάνη που θα προκύψει εκτιμάται στο ύψος των εβδομήντα εκατομμυρίων (70.000.000) ευρώ σε βάρος του Προϋπολογισμού Δημοσίων Επενδύσεων και στο ύψος των σαράντα εκατομμυρίων (40.000.000 ευρώ) απώλεια φορολογικών εσόδων.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iii. για τα επόμενα τρία έτη (2019, 2020, 2021) η δαπάνη που θα προκύψει εκτιμάται στο ύψος των διακοσίων είκοσι εκατομμυρίων (220.000.000) ευρώ σε βάρος του Προϋπολογισμού Δημοσίων Επενδύσεων και στο ύψος των εξήντα εκατομμυρίων (60.000.000) ευρώ απώλεια φορολογικών εσόδων.</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α. Με όμοια απόφασή μας δύναται να αναπροσαρμόζεται το ποσό για το ειδικό καθεστώς των επενδύσεων Μείζονος Μεγέθους έως το προβλεπόμενο στο Γενικό Απαλλακτικό Κανονισμό όριο καθώς και να ανακατανέμονται τα ποσά μεταξύ της επιχορήγησης, της επιδότησης χρηματοδοτικής μίσθωσης και της επιδότησης του κόστους της δημιουργούμενης απασχόλησης και της φορολογικής απαλλαγής.</w:t>
      </w:r>
    </w:p>
    <w:p>
      <w:pPr>
        <w:spacing w:before="240" w:after="240"/>
        <w:rPr>
          <w:lang w:val="el" w:eastAsia="el"/>
        </w:rPr>
      </w:pPr>
      <w:r>
        <w:rPr>
          <w:lang w:val="el" w:eastAsia="el"/>
        </w:rPr>
        <w:t>β.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13 Οκτωβρίου 2016 </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Οικονομίας, Ανάπτυξης και Τουρισμού </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129348/2017 04.12.2017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