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Φ11321/οικ.45</w:t>
      </w:r>
      <w:r>
        <w:rPr>
          <w:lang w:val="el" w:eastAsia="el"/>
        </w:rPr>
        <w:t>947/1757</w:t>
      </w:r>
    </w:p>
    <w:p>
      <w:pPr>
        <w:pStyle w:val="PreambelText"/>
        <w:spacing w:before="240" w:after="240"/>
        <w:rPr>
          <w:lang w:val="el" w:eastAsia="el"/>
        </w:rPr>
      </w:pPr>
      <w:r>
        <w:rPr>
          <w:b/>
          <w:bCs/>
          <w:lang w:val="el" w:eastAsia="el"/>
        </w:rPr>
        <w:t>Αναπροσαρμογή ασφαλιστικών εισφορών Κλάδου Σύνταξης μισθωτών από 1-1-2017 έως την 1-1-2020.</w:t>
      </w:r>
    </w:p>
    <w:p>
      <w:pPr>
        <w:pStyle w:val="PreambelText"/>
        <w:spacing w:before="240" w:after="240"/>
        <w:rPr>
          <w:lang w:val="el" w:eastAsia="el"/>
        </w:rPr>
      </w:pPr>
      <w:r>
        <w:rPr>
          <w:b/>
          <w:bCs/>
          <w:lang w:val="el" w:eastAsia="el"/>
        </w:rPr>
        <w:t>Ο ΥΦΥΠΟΥΡΓΟΣ ΕΡΓΑΣΙΑΣ, ΚΟΙΝΩΝΙΚΗΣ ΑΣΦΑΛΙΣΗΣ ΚΑΙ ΚΟΙΝΩΝΙΚΗΣ ΑΛΛΗΛΕΓΓΥΗΣ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38 παρ. 8 του ν. 4387/2016 (Α’, 85)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όπως αντικαταστάθηκε με την παρ. 5 του άρθρου δεύτερου του ν. 4393/2016 (ΦΕΚ 106 Α’).</w:t>
      </w:r>
    </w:p>
    <w:p>
      <w:pPr>
        <w:pStyle w:val="PreambelText"/>
        <w:spacing w:before="240" w:after="240"/>
        <w:rPr>
          <w:lang w:val="el" w:eastAsia="el"/>
        </w:rPr>
      </w:pPr>
      <w:r>
        <w:rPr>
          <w:lang w:val="el" w:eastAsia="el"/>
        </w:rPr>
        <w:t>2. Τις διατάξεις του άρθρου 38 παρ. 1, 4 και 5 και του άρθρου 40 παρ. 5 του ν. 4387/2016 (Α’, 85) «Ενιαίο Σύστημα Κοινωνικής Ασφάλειας - Μεταρρύθμιση ασφαλιστικού - συνταξιοδοτικού συστήματος - Ρυθμίσεις φορολογίας εισοδήματος και τυχερών παιγνίων και άλλες διατάξεις», όπως αντικαταστάθηκε με την παρ. 5 του άρθρου δεύτερου του ν. 4393/2016 (ΦΕΚ 106 Α’).</w:t>
      </w:r>
    </w:p>
    <w:p>
      <w:pPr>
        <w:pStyle w:val="PreambelText"/>
        <w:spacing w:before="240" w:after="240"/>
        <w:rPr>
          <w:lang w:val="el" w:eastAsia="el"/>
        </w:rPr>
      </w:pPr>
      <w:r>
        <w:rPr>
          <w:lang w:val="el" w:eastAsia="el"/>
        </w:rPr>
        <w:t>3. Τις διατάξεις του άρθρου 90 του «Κώδικα Νομοθεσίας για την Κυβέρνηση και τα Κυβερνητικά Όργανα» που κυρώθηκε με το άρθρο πρώτο του π.δ/τος 63/2005 (Α’, 98) «Κωδικοποίηση της νομοθεσίας για την Κυβέρνηση και τα Κυβερνητικά Όργανα».</w:t>
      </w:r>
    </w:p>
    <w:p>
      <w:pPr>
        <w:pStyle w:val="PreambelText"/>
        <w:spacing w:before="240" w:after="240"/>
        <w:rPr>
          <w:lang w:val="el" w:eastAsia="el"/>
        </w:rPr>
      </w:pPr>
      <w:r>
        <w:rPr>
          <w:lang w:val="el" w:eastAsia="el"/>
        </w:rPr>
        <w:t>4. Τις διατάξεις του π.δ/τος 113/2014 (Α’, 180) «Οργανισμός Υπουργείου Εργασίας, Κοινωνικής Ασφάλισης και Πρόνοιας».</w:t>
      </w:r>
    </w:p>
    <w:p>
      <w:pPr>
        <w:pStyle w:val="PreambelText"/>
        <w:spacing w:before="240" w:after="240"/>
        <w:rPr>
          <w:lang w:val="el" w:eastAsia="el"/>
        </w:rPr>
      </w:pPr>
      <w:r>
        <w:rPr>
          <w:lang w:val="el" w:eastAsia="el"/>
        </w:rPr>
        <w:t>5. Τις διατάξεις του άρθρου 5 του π.δ/τος 24/2015 (Α’, 20) «Σύσταση και μετονομασία Υπουργείων, μεταφορά της Γενικής Γραμματείας Κοινωνικών Ασφαλίσεων» και του άρθρου 27 του ν. 4320/2015 (Α’, 29) «Ρυθμίσεις για τη λήψη άμεσων μέτρων για την αντιμετώπιση της ανθρωπιστικής κρίσης, και την οργάνωση της Κυβέρνησης και των Κυβερνητικών Οργάνων και λοιπές διατάξεις».</w:t>
      </w:r>
    </w:p>
    <w:p>
      <w:pPr>
        <w:pStyle w:val="PreambelText"/>
        <w:spacing w:before="240" w:after="240"/>
        <w:rPr>
          <w:lang w:val="el" w:eastAsia="el"/>
        </w:rPr>
      </w:pPr>
      <w:r>
        <w:rPr>
          <w:lang w:val="el" w:eastAsia="el"/>
        </w:rPr>
        <w:t>6. Τις διατάξεις του π.δ/τος 73/2015 (Α’, 116) «Διορισμός Υπουργών, Αναπληρωτών Υπουργών και Υφυπουργών».</w:t>
      </w:r>
    </w:p>
    <w:p>
      <w:pPr>
        <w:pStyle w:val="PreambelText"/>
        <w:spacing w:before="240" w:after="240"/>
        <w:rPr>
          <w:lang w:val="el" w:eastAsia="el"/>
        </w:rPr>
      </w:pPr>
      <w:r>
        <w:rPr>
          <w:lang w:val="el" w:eastAsia="el"/>
        </w:rPr>
        <w:t>7. Την υπ’ αριθμ. 44549/Δ9.12193/9-10-2015 (Β’ 2169) υπουργική απόφαση «Ανάθεση αρμοδιοτήτων στον Υφυπουργό Εργασίας, Κοινωνικής Ασφάλισης και Κοινωνικής Αλληλεγγύης, Αναστάσιος Πετρόπουλο», όπως έχει τροποποιηθεί και ισχύει με την υπ’ αριθμ. 54051/ Δ9.14200/22-11-2016 (Β’ 3801).</w:t>
      </w:r>
    </w:p>
    <w:p>
      <w:pPr>
        <w:pStyle w:val="PreambelText"/>
        <w:spacing w:before="240" w:after="240"/>
        <w:rPr>
          <w:lang w:val="el" w:eastAsia="el"/>
        </w:rPr>
      </w:pPr>
      <w:r>
        <w:rPr>
          <w:lang w:val="el" w:eastAsia="el"/>
        </w:rPr>
        <w:t>8. Την αριθμ. 49361/1767/26-10-2016 εισήγηση της Προϊσταμένης της Γενικής Δ/νσης Οικονομικών Υπηρεσιών, σύμφωνα με την παρ. 5 του άρθρου 24 του ν. 4270/2014 (Α’ 143). Σύμφωνα με την εισήγηση, για τις περιπτώσεις Α έως και Ζ εκτιμάται απώλεια εσόδων στον προϋπολογισμό του ΕΦΚΑ 27 εκ. για το έτος 2017, 55 εκ. έως το έτος 2018, 60 εκ. έως το έτος 2019, 92 εκ. έως το έτος 2020, για τις περιπτώσεις ΙΔ έως και ΙΗ, για το μέρος που αφορά την αναπροσαρμογή των ασφαλιστικών εισφορών του εργοδότη, η οικονομική επίπτωση είναι δημοσιονομικά ουδέτερη για τον προϋπολογισμό της Γενικής Κυβέρνησης, δεδομένου ότι οι μεταβολές στην εργοδοτική εισφορά αντισταθμίζονται με ισόποσες καταβολές στα έσοδα του ΕΦΚΑ και τέλος, για τις περιπτώσεις Η έως και ΙΓ οι οικονομικές συνέπειες δεν είναι δυνατόν να εκτιμηθούν λόγω μη διαθέσιμων στοιχείων,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Στο πεδίο εφαρμογής της παρούσας απόφασης υπάγονται, με την επιφύλαξη της παραγράφου 5 του άρθρου 38 του ν. 4387/2016, τα παρακάτω πρόσωπα:</w:t>
      </w:r>
    </w:p>
    <w:p>
      <w:pPr>
        <w:spacing w:before="240" w:after="240"/>
        <w:rPr>
          <w:lang w:val="el" w:eastAsia="el"/>
        </w:rPr>
      </w:pPr>
      <w:r>
        <w:rPr>
          <w:lang w:val="el" w:eastAsia="el"/>
        </w:rPr>
        <w:t>Α. Οι ασφαλισμένοι στον Τομέα Ασφάλισης Προσωπικού ΔΕΗ μέχρι 31-12-1992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Β. Οι ασφαλισμένοι στο ΙΚΑ - ΕΤΑΜ, που ήταν ασφαλισμένοι στο Ταμείο Συντάξεως μέχρι 31-12-1992 Προσωπικού ΗΣΑΠ κατά την ημερομηνία ένταξής του στο ΙΚΑ - ΕΤΑΜ (1-8-2008)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Γ. Οι ασφαλισμένοι στο ΙΚΑ - ΕΤΑΜ, που ήταν ασφαλισμένοι μέχρι 31-12-1992 στο Ταμείο Συντάξεως Προσωπικού ΕΤΕ κατά την ημερομηνία ένταξής του στο ΙΚΑ - ΕΤΑΜ (1-8-2008)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Δ. Οι ασφαλισμένοι στο ΙΚΑ - ΕΤΑΜ, που ήταν ασφαλισμένοι μέχρι 31-12-1992 στο Ταμείο Ασφάλισης Προσωπικού ΕΤΒΑ κατά την ημερομηνία ένταξής του στο ΙΚΑ - ΕΤΑΜ (1-8-2008)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Ε. Οι ασφαλισμένοι στο ΙΚΑ - ΕΤΑΜ, που ήταν ασφαλισμένοι μέχρι 31-12-1992 στο Ταμείο Ασφάλισης Προσωπικού ΟΤΕ κατά την ημερομηνία ένταξής του στο ΙΚΑ - ΕΤΑΜ (1-8-2008)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ΣΤ. Οι ασφαλισμένοι στο ΙΚΑ - ΕΤΑΜ που ήταν ασφαλισμένοι μέχρι 31-12-1992 στο Ταμείο Ασφάλισης Προσωπικού Ασφαλιστικής Εταιρίας η Εθνική κατά την ημερομηνία ένταξής του στο ΙΚΑ - ΕΤΑΜ (1-8-2008)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Ζ. Οι ασφαλισμένοι στο ΙΚΑ - ΕΤΑΜ που ήταν ασφαλισμένοι στο Ταμείο Συντάξεων και Επικουρικής Ασφάλισης Προσωπικού Γεωργικών Συνεταιριστικών Οργανώσεων μέχρι την ημερομηνία ένταξής του στο ΙΚΑ - ΕΤΑΜ (31-7-2007) και ασφαλίζονται για απασχολήσεις τους από 1-8-2007 και μετά σε Συνεταιριστικές Οργανώσεις στο ΤΣΕΑΠΓΣΟ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Η. Οι ασφαλισμένοι στο ΙΚΑ - ΕΤΑΜ πριν την 1-1-1993 που εργάζονται ως προσωπικό εδάφους αεροπορικών επιχειρήσεων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Θ. Οι ασφαλισμένοι στο ΙΚΑ - ΕΤΑΜ πριν την 1-1-1993 που εργάζονται ως ιπτάμενο προσωπικό αεροπορικών επιχειρήσεων ή ΥΠΑτεχνικό προσωπικό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Ι. Οι ασφαλισμένοι στο ΙΚΑ - ΕΤΑΜ πριν την 1-1-1993 που εργάζονται ως πτυχιούχοι χειριστές αεροσκαφών που χρησιμοποιούνται σε οποιονδήποτε εργοδότη σε πτητικές εργασίες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ΙΑ. Οι ασφαλισμένοι στο ΙΚΑ - ΕΤΑΜ πριν την 1-1-1993 που εργάζονται ως ηθοποιοί θεάτρου πρόζας και μουσικού, υποβολείς και μουσικοί εγχόρδων και κρουστών οργάνων, τεχνικοί θεάτρου και κινηματογράφου και προσωπικό σκηνής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ΙΒ. Οι ασφαλισμένοι στο ΙΚΑ - ΕΤΑΜ πριν την 1-1-1993 που εργάζονται ως ηθοποιοί μελοδραματικού θεάτρου, μουσικοί πνευστών οργάνων και χορευτές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ΙΓ. Οι ασφαλισμένοι στο ΙΚΑ - ΕΤΑΜ μετά την 1-1-1993 που εργάζονται ως ηθοποιοί μελοδραματικού θεάτρου, μουσικού θεάτρου και θεάτρου πρόζας, μουσικοί εγχόρδων, κρουστών και πνευστών οργάνων, τεχνικοί θεάτρου και κινηματογράφου, υποβολείς, προσωπικό σκηνής, χορευτές - χορεύτριες, προσωπικό Ο.Α. και αεροπορικών εταιριών, πτυχιούχοι χειριστές αεροσκαφών που εκτελούν πτητικές εργασίες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ΙΔ. Οι τακτικοί υπάλληλοι ΙΚΑ - ΕΤΑΜ και ΝΠΔΔ που συνταξιοδοτούνται με το ειδικό συνταξιοδοτικό καθεστώς του ΙΚΑ - ΕΤΑΜ (ν. 3163/1955) και οι εργοδότες που καταβάλουν ασφαλιστικές εισφορές για τους ασφαλισμένους αυτούς</w:t>
      </w:r>
    </w:p>
    <w:p>
      <w:pPr>
        <w:spacing w:before="240" w:after="240"/>
        <w:rPr>
          <w:lang w:val="el" w:eastAsia="el"/>
        </w:rPr>
      </w:pPr>
      <w:r>
        <w:rPr>
          <w:lang w:val="el" w:eastAsia="el"/>
        </w:rPr>
        <w:t>ΙΕ. Οι τακτικοί υπάλληλοι ΝΠΔΔ που συνταξιοδοτούνται από το ίδιο το ΝΠΔΔ με διατάξεις που ακολουθούν τις συνταξιοδοτικές προϋποθέσεις του Δημοσίου</w:t>
      </w:r>
    </w:p>
    <w:p>
      <w:pPr>
        <w:spacing w:before="240" w:after="240"/>
        <w:rPr>
          <w:lang w:val="el" w:eastAsia="el"/>
        </w:rPr>
      </w:pPr>
      <w:r>
        <w:rPr>
          <w:lang w:val="el" w:eastAsia="el"/>
        </w:rPr>
        <w:t>ΙΣΤ. Οι τακτικοί υπάλληλοι του ΕΤΑΠ-ΜΜΕ που ασφαλίζονται με τις διατάξεις του πρώην Ταμείου Συντάξεων Προσωπικού Εφημερίδων Αθηνών Θεσσαλονίκης (ΤΣΠΕΑΘ)</w:t>
      </w:r>
    </w:p>
    <w:p>
      <w:pPr>
        <w:spacing w:before="240" w:after="240"/>
        <w:rPr>
          <w:lang w:val="el" w:eastAsia="el"/>
        </w:rPr>
      </w:pPr>
      <w:r>
        <w:rPr>
          <w:lang w:val="el" w:eastAsia="el"/>
        </w:rPr>
        <w:t>ΙΖ. Οι τακτικοί υπάλληλοι του ΕΤΑΠ-ΜΜΕ που ασφαλίζονται με τις διατάξεις του πρώην Ταμείου Ασφάλισης Τεχνικών Τύπου Αθηνών Θεσσαλονίκης (ΤΑΤΤΑΘ)</w:t>
      </w:r>
    </w:p>
    <w:p>
      <w:pPr>
        <w:spacing w:before="240" w:after="240"/>
        <w:rPr>
          <w:lang w:val="el" w:eastAsia="el"/>
        </w:rPr>
      </w:pPr>
      <w:r>
        <w:rPr>
          <w:lang w:val="el" w:eastAsia="el"/>
        </w:rPr>
        <w:t>ΙΗ. Οι τακτικοί υπάλληλοι του Τομέα Υγειονομικών του Ενιαίου Ταμείου Ασφάλισης Αυτοαπασχολούμενων (ΕΤΑΑ) που ασφαλίζονται με τις διατάξεις του πρώην Ταμείου Συντάξεων και Αυτασφαλίσεως Υγειονομικών</w:t>
      </w:r>
    </w:p>
    <w:p>
      <w:pPr>
        <w:spacing w:before="240" w:after="240"/>
        <w:rPr>
          <w:lang w:val="el" w:eastAsia="el"/>
        </w:rPr>
      </w:pPr>
      <w:r>
        <w:rPr>
          <w:lang w:val="el" w:eastAsia="el"/>
        </w:rPr>
        <w:t>ΙΘ. Τα πρόσωπα της παρ. 5 του άρθρου 40 του ν. 4387/2016, δηλαδή οι ασφαλισμένοι που έως την έναρξη ισχύος του ν. 4387/2016 υπάγονταν στην ασφάλιση του ΟΓΑ ως μισθωτοί - ανειδίκευτοι εργάτες, μετακλητοί πολίτες τρίτων χωρών.</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Ποσοστά ασφαλιστικών εισφορών</w:t>
      </w:r>
    </w:p>
    <w:p>
      <w:pPr>
        <w:spacing w:before="240" w:after="240"/>
        <w:rPr>
          <w:lang w:val="el" w:eastAsia="el"/>
        </w:rPr>
      </w:pPr>
      <w:r>
        <w:rPr>
          <w:lang w:val="el" w:eastAsia="el"/>
        </w:rPr>
        <w:t>Από την 1-1-2017 τα ποσοστά των ασφαλιστικών εισφορών κλάδου σύνταξης για τους ασφαλισμένους και τους εργοδότες που εμπίπτουν στο πεδίο εφαρμογής της παρούσης, αναπροσαρμόζονται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01"/>
        <w:gridCol w:w="2615"/>
        <w:gridCol w:w="364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ΤΑΠ-ΔΕΗ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11 %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9,92 %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8,84 %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7,75 %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6,67 %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22 %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19,83 %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17,67 %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15,5 %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38 παρ. 1 και 4 ν. 4387/2016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58"/>
        <w:gridCol w:w="2925"/>
        <w:gridCol w:w="34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p>
          <w:p>
            <w:pPr>
              <w:spacing w:before="240"/>
              <w:rPr>
                <w:b w:val="0"/>
                <w:bCs w:val="0"/>
                <w:i w:val="0"/>
                <w:iCs w:val="0"/>
                <w:smallCaps w:val="0"/>
                <w:color w:val="000000"/>
                <w:lang w:val="el" w:eastAsia="el"/>
              </w:rPr>
            </w:pPr>
            <w:r>
              <w:rPr>
                <w:b w:val="0"/>
                <w:bCs w:val="0"/>
                <w:i w:val="0"/>
                <w:iCs w:val="0"/>
                <w:smallCaps w:val="0"/>
                <w:color w:val="000000"/>
                <w:lang w:val="el" w:eastAsia="el"/>
              </w:rPr>
              <w:t>ΙΚΑ-ΕΤΑΜ /τ. ΤΣΠ-ΗΣΑΠ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8,835 %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8,29 %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7,75 %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7,22 %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6,67 %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19,165 %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17,70 %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16,25 %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14,79 %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38 παρ. 1 και 4 ν. 4387/2016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23"/>
        <w:gridCol w:w="1766"/>
        <w:gridCol w:w="3073"/>
        <w:gridCol w:w="2098"/>
      </w:tblGrid>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και Δ ΙΚΑ-ΕΤΑΜ/τ. ΤΣΠ-ΕΤΕ και τ. ΤΑΠ-ΕΤΒΑ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ΤΣΠ-ΕΤΕ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ΤΑΠ-ΕΤΒΑ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8,835 %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8,29 %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7,75 %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7,22 %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6,67 %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19,915 %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18,27%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16,66 %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14,98 %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19,665% μέχρι 31/12/2016 18,08 %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16,5 %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14,9%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38 παρ. 1 και 4 ν. 4387/2016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20"/>
        <w:gridCol w:w="2211"/>
        <w:gridCol w:w="2029"/>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w:t>
            </w:r>
          </w:p>
          <w:p>
            <w:pPr>
              <w:spacing w:before="240"/>
              <w:rPr>
                <w:b w:val="0"/>
                <w:bCs w:val="0"/>
                <w:i w:val="0"/>
                <w:iCs w:val="0"/>
                <w:smallCaps w:val="0"/>
                <w:color w:val="000000"/>
                <w:lang w:val="el" w:eastAsia="el"/>
              </w:rPr>
            </w:pPr>
            <w:r>
              <w:rPr>
                <w:b w:val="0"/>
                <w:bCs w:val="0"/>
                <w:i w:val="0"/>
                <w:iCs w:val="0"/>
                <w:smallCaps w:val="0"/>
                <w:color w:val="000000"/>
                <w:lang w:val="el" w:eastAsia="el"/>
              </w:rPr>
              <w:t>ΙΚΑ-ΕΤΑΜ / τ. ΤΑΠ-ΟΤΕ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8,835 %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8,29 %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7,75 %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7,22 %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6,67 % από 1/1/2020 Για τους υπαλλήλους του τ. ΤΑΠ-ΟΤΕ η εισφορά είναι ήδη 6,67%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ΟΤΕ ΟΣΕ-ΕΛΤΑ-ΤΑΠ-ΟΤΕ</w:t>
            </w:r>
          </w:p>
          <w:p>
            <w:pPr>
              <w:spacing w:before="240" w:after="240"/>
              <w:rPr>
                <w:b w:val="0"/>
                <w:bCs w:val="0"/>
                <w:i w:val="0"/>
                <w:iCs w:val="0"/>
                <w:smallCaps w:val="0"/>
                <w:color w:val="000000"/>
                <w:lang w:val="el" w:eastAsia="el"/>
              </w:rPr>
            </w:pPr>
            <w:r>
              <w:rPr>
                <w:b w:val="0"/>
                <w:bCs w:val="0"/>
                <w:i w:val="0"/>
                <w:iCs w:val="0"/>
                <w:smallCaps w:val="0"/>
                <w:color w:val="000000"/>
                <w:lang w:val="el" w:eastAsia="el"/>
              </w:rPr>
              <w:t>19,165% 18,665%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17,70 % 17,33 %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16,25 % 15,99 %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14,79 % 14,67 %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38 παρ. 1 και 4 ν. 4387/2016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58"/>
        <w:gridCol w:w="2925"/>
        <w:gridCol w:w="3476"/>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ΣΤ</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Πρώην Ταμείο Ασφάλισης Προσωπικού Ασφαλιστικής Εταιρείας η Εθνική</w:t>
            </w:r>
          </w:p>
          <w:p>
            <w:pPr>
              <w:spacing w:before="240"/>
              <w:rPr>
                <w:b w:val="0"/>
                <w:bCs w:val="0"/>
                <w:i w:val="0"/>
                <w:iCs w:val="0"/>
                <w:smallCaps w:val="0"/>
                <w:color w:val="000000"/>
                <w:lang w:val="el" w:eastAsia="el"/>
              </w:rPr>
            </w:pPr>
            <w:r>
              <w:rPr>
                <w:b w:val="0"/>
                <w:bCs w:val="0"/>
                <w:i w:val="0"/>
                <w:iCs w:val="0"/>
                <w:smallCaps w:val="0"/>
                <w:color w:val="000000"/>
                <w:lang w:val="el" w:eastAsia="el"/>
              </w:rPr>
              <w:t>(ΤΑΠΑΕ «Η ΕΘΝΙΚΗ»)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16,665 %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15,83 %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15 %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14,16 %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38 παρ. 1 και 4 ν. 4387/2016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01"/>
        <w:gridCol w:w="2615"/>
        <w:gridCol w:w="364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Ζ</w:t>
            </w:r>
          </w:p>
          <w:p>
            <w:pPr>
              <w:spacing w:before="240" w:after="240"/>
              <w:rPr>
                <w:b w:val="0"/>
                <w:bCs w:val="0"/>
                <w:i w:val="0"/>
                <w:iCs w:val="0"/>
                <w:smallCaps w:val="0"/>
                <w:color w:val="000000"/>
                <w:lang w:val="el" w:eastAsia="el"/>
              </w:rPr>
            </w:pPr>
            <w:r>
              <w:rPr>
                <w:b w:val="0"/>
                <w:bCs w:val="0"/>
                <w:i w:val="0"/>
                <w:iCs w:val="0"/>
                <w:smallCaps w:val="0"/>
                <w:color w:val="000000"/>
                <w:lang w:val="el" w:eastAsia="el"/>
              </w:rPr>
              <w:t>Πρώην Ταμείο Συντάξεων και Επικουρικής Ασφάλισης Προσωπικού Γεωργικών Συνεταιριστικών Οργανώσεων</w:t>
            </w:r>
          </w:p>
          <w:p>
            <w:pPr>
              <w:spacing w:before="240"/>
              <w:rPr>
                <w:b w:val="0"/>
                <w:bCs w:val="0"/>
                <w:i w:val="0"/>
                <w:iCs w:val="0"/>
                <w:smallCaps w:val="0"/>
                <w:color w:val="000000"/>
                <w:lang w:val="el" w:eastAsia="el"/>
              </w:rPr>
            </w:pPr>
            <w:r>
              <w:rPr>
                <w:b w:val="0"/>
                <w:bCs w:val="0"/>
                <w:i w:val="0"/>
                <w:iCs w:val="0"/>
                <w:smallCaps w:val="0"/>
                <w:color w:val="000000"/>
                <w:lang w:val="el" w:eastAsia="el"/>
              </w:rPr>
              <w:t>(πρώην ΤΣΕΑΠΓΣΟ)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7,67 %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7,34 %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7,00 %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6,67 %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15 %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14,58 %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14,17 %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13,75 %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38 παρ. 1 και 4 ν. 4387/2016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8"/>
        <w:gridCol w:w="2840"/>
        <w:gridCol w:w="352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Η, Θ, Ι, ΙΑ, ΙΒ</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Ασφαλισμένοι στο ΙΚΑ-ΕΤΑΜ πριν την 1/1/1993 προσωπικό εδάφους αεροπορικών επιχειρήσεων ιπτάμενο προσωπικό αεροπορικών επιχειρήσεων ή ΥΠΑ- τεχνικό προσωπικό πτυχιούχοι χειριστές αεροσκαφών που χρησιμοποιούνται σε οποιονδήποτε εργοδότη σε πτητικές εργασίες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ηθοποιοί θεάτρου πρόζας και μουσικού, υποβολείς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μουσικοί εγχόρδων, κρουστών και πνευστών οργάνων, τεχνικοί θεάτρου και κινηματογράφου προσωπικό σκηνής</w:t>
            </w:r>
          </w:p>
          <w:p>
            <w:pPr>
              <w:spacing w:before="240"/>
              <w:rPr>
                <w:b w:val="0"/>
                <w:bCs w:val="0"/>
                <w:i w:val="0"/>
                <w:iCs w:val="0"/>
                <w:smallCaps w:val="0"/>
                <w:color w:val="000000"/>
                <w:lang w:val="el" w:eastAsia="el"/>
              </w:rPr>
            </w:pPr>
            <w:r>
              <w:rPr>
                <w:b w:val="0"/>
                <w:bCs w:val="0"/>
                <w:i w:val="0"/>
                <w:iCs w:val="0"/>
                <w:smallCaps w:val="0"/>
                <w:color w:val="000000"/>
                <w:lang w:val="el" w:eastAsia="el"/>
              </w:rPr>
              <w:t>ηθοποιοί μελοδραματικού θεάτρου χορευτές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10,97 %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9,9 %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8,83 %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7,75 %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6,67 %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16,03 %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15,36 %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14,69 %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14,01 %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38 παρ. 1 και 4 ν. 4387/2016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ΙΓ</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Ασφαλισμένοι στο ΙΚΑ-ΕΤΑΜ μετά την 1/1/1993 ηθοποιοί μελοδραματικού, μουσικού θεάτρου και θεάτρου πρόζας μουσικοί εγχόρδων, κρουστών και πνευστών οργάνων τεχνικοί θεάτρου και κινηματογράφου υποβολείς προσωπικό σκηνής χορευτές</w:t>
            </w:r>
          </w:p>
          <w:p>
            <w:pPr>
              <w:spacing w:before="240"/>
              <w:rPr>
                <w:b w:val="0"/>
                <w:bCs w:val="0"/>
                <w:i w:val="0"/>
                <w:iCs w:val="0"/>
                <w:smallCaps w:val="0"/>
                <w:color w:val="000000"/>
                <w:lang w:val="el" w:eastAsia="el"/>
              </w:rPr>
            </w:pPr>
            <w:r>
              <w:rPr>
                <w:b w:val="0"/>
                <w:bCs w:val="0"/>
                <w:i w:val="0"/>
                <w:iCs w:val="0"/>
                <w:smallCaps w:val="0"/>
                <w:color w:val="000000"/>
                <w:lang w:val="el" w:eastAsia="el"/>
              </w:rPr>
              <w:t>προσωπικό Ο.Α. και αεροπορικών εταιριών πτυχιούχοι χειριστές αεροσκαφών που εκτελούν πτητικές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8,87 %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8,32 %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7,77 %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7,22 %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6,67 %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14,73 %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14,38 %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14,03 %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13,68 %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38 παρ. 1 και 4 ν. 4387/2016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8"/>
        <w:gridCol w:w="2840"/>
        <w:gridCol w:w="3523"/>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ΙΔ</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Ασφαλισμένοι πριν την 1/1/1993</w:t>
            </w:r>
          </w:p>
          <w:p>
            <w:pPr>
              <w:spacing w:before="240"/>
              <w:rPr>
                <w:b w:val="0"/>
                <w:bCs w:val="0"/>
                <w:i w:val="0"/>
                <w:iCs w:val="0"/>
                <w:smallCaps w:val="0"/>
                <w:color w:val="000000"/>
                <w:lang w:val="el" w:eastAsia="el"/>
              </w:rPr>
            </w:pPr>
            <w:r>
              <w:rPr>
                <w:b w:val="0"/>
                <w:bCs w:val="0"/>
                <w:i w:val="0"/>
                <w:iCs w:val="0"/>
                <w:smallCaps w:val="0"/>
                <w:color w:val="000000"/>
                <w:lang w:val="el" w:eastAsia="el"/>
              </w:rPr>
              <w:t>Τακτικοί υπάλληλοι ΝΠΔΔ και ΙΚΑ-ΕΤΑΜ που συνταξιοδοτούνται με το ειδικό συνταξιοδοτικό καθεστώς του ΙΚΑ-ΕΤΑΜ (ν. 3163/1955)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25,33 %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22,33 %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19,33 %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16,33 %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38 παρ. 1 και 4 ν. 4387/2016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ΙΕ</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Ασφαλισμένοι πριν την 1/1/1993</w:t>
            </w:r>
          </w:p>
          <w:p>
            <w:pPr>
              <w:spacing w:before="240"/>
              <w:rPr>
                <w:b w:val="0"/>
                <w:bCs w:val="0"/>
                <w:i w:val="0"/>
                <w:iCs w:val="0"/>
                <w:smallCaps w:val="0"/>
                <w:color w:val="000000"/>
                <w:lang w:val="el" w:eastAsia="el"/>
              </w:rPr>
            </w:pPr>
            <w:r>
              <w:rPr>
                <w:b w:val="0"/>
                <w:bCs w:val="0"/>
                <w:i w:val="0"/>
                <w:iCs w:val="0"/>
                <w:smallCaps w:val="0"/>
                <w:color w:val="000000"/>
                <w:lang w:val="el" w:eastAsia="el"/>
              </w:rPr>
              <w:t>Τακτικοί υπάλληλοι ΝΠΔΔ που συνταξιοδοτούνται από το ίδιο το ΝΠΔΔ με διατάξεις που ακολουθούν τις συνταξιοδοτικές προϋποθέσεις του Δημοσίου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3,33 %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6,67 %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10,00 %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38 παρ. 1 και 4 ν. 4387/2016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92"/>
        <w:gridCol w:w="3437"/>
        <w:gridCol w:w="253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ΙΣΤ</w:t>
            </w:r>
          </w:p>
          <w:p>
            <w:pPr>
              <w:spacing w:before="240"/>
              <w:rPr>
                <w:b w:val="0"/>
                <w:bCs w:val="0"/>
                <w:i w:val="0"/>
                <w:iCs w:val="0"/>
                <w:smallCaps w:val="0"/>
                <w:color w:val="000000"/>
                <w:lang w:val="el" w:eastAsia="el"/>
              </w:rPr>
            </w:pPr>
            <w:r>
              <w:rPr>
                <w:b w:val="0"/>
                <w:bCs w:val="0"/>
                <w:i w:val="0"/>
                <w:iCs w:val="0"/>
                <w:smallCaps w:val="0"/>
                <w:color w:val="000000"/>
                <w:lang w:val="el" w:eastAsia="el"/>
              </w:rPr>
              <w:t>Τακτικοί υπάλληλοι ΕΤΑΠ-ΜΜΕ - πρώην ΤΣΠΕΑΘ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8,5 % μέχρι 31/12/2016 8,05 %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7,6 %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7,15 %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6,67 %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7,5 %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8,95 %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10,4 %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11,85 %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38 παρ. 1 και 4 ν. 4387/2016</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ΙΖ</w:t>
            </w:r>
          </w:p>
          <w:p>
            <w:pPr>
              <w:spacing w:before="240"/>
              <w:rPr>
                <w:b w:val="0"/>
                <w:bCs w:val="0"/>
                <w:i w:val="0"/>
                <w:iCs w:val="0"/>
                <w:smallCaps w:val="0"/>
                <w:color w:val="000000"/>
                <w:lang w:val="el" w:eastAsia="el"/>
              </w:rPr>
            </w:pPr>
            <w:r>
              <w:rPr>
                <w:b w:val="0"/>
                <w:bCs w:val="0"/>
                <w:i w:val="0"/>
                <w:iCs w:val="0"/>
                <w:smallCaps w:val="0"/>
                <w:color w:val="000000"/>
                <w:lang w:val="el" w:eastAsia="el"/>
              </w:rPr>
              <w:t>Τακτικοί υπάλληλοι ΕΤΑΠ-ΜΜΕ - πρώην ΤΑΤΤΑΘ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17 % μέχρι 31/12/2016 16,09 %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15,18 %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14,27 %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38 παρ. 1 και 4 ν. 4387/2016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35"/>
        <w:gridCol w:w="2541"/>
        <w:gridCol w:w="3684"/>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ΙΗ</w:t>
            </w:r>
          </w:p>
          <w:p>
            <w:pPr>
              <w:spacing w:before="240"/>
              <w:rPr>
                <w:b w:val="0"/>
                <w:bCs w:val="0"/>
                <w:i w:val="0"/>
                <w:iCs w:val="0"/>
                <w:smallCaps w:val="0"/>
                <w:color w:val="000000"/>
                <w:lang w:val="el" w:eastAsia="el"/>
              </w:rPr>
            </w:pPr>
            <w:r>
              <w:rPr>
                <w:b w:val="0"/>
                <w:bCs w:val="0"/>
                <w:i w:val="0"/>
                <w:iCs w:val="0"/>
                <w:smallCaps w:val="0"/>
                <w:color w:val="000000"/>
                <w:lang w:val="el" w:eastAsia="el"/>
              </w:rPr>
              <w:t>Ασφαλισμένοι πριν και μετά την 1/1/1993 Τακτικοί υπάλληλοι ΕΤΑΑ - Τομέας Υγειονομικών (ΤΣΑΥ)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6,67 %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6,33 %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8,66 %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10,99 %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38 παρ. 1 και 4 ν. 4387/2016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314"/>
        <w:gridCol w:w="2794"/>
        <w:gridCol w:w="3252"/>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ΙΘ</w:t>
            </w:r>
          </w:p>
          <w:p>
            <w:pPr>
              <w:spacing w:before="240"/>
              <w:rPr>
                <w:b w:val="0"/>
                <w:bCs w:val="0"/>
                <w:i w:val="0"/>
                <w:iCs w:val="0"/>
                <w:smallCaps w:val="0"/>
                <w:color w:val="000000"/>
                <w:lang w:val="el" w:eastAsia="el"/>
              </w:rPr>
            </w:pPr>
            <w:r>
              <w:rPr>
                <w:b w:val="0"/>
                <w:bCs w:val="0"/>
                <w:i w:val="0"/>
                <w:iCs w:val="0"/>
                <w:smallCaps w:val="0"/>
                <w:color w:val="000000"/>
                <w:lang w:val="el" w:eastAsia="el"/>
              </w:rPr>
              <w:t>Ασφαλισμένοι πριν και μετά την 1/1/1993 που έως την έναρξη ισχύος του ν. 4387/2016 υπάγονταν στην ασφάλιση του ΟΓΑ ως μισθωτοί-ανειδίκευτοι εργάτες, μετακλητοί πολίτες τρίτων χωρών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ΑΣΦΑΛΙΣΜΕΝΟΥ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ΕΙΣΦΟΡΑ ΕΡΓΟΔΟΤΗ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1,67 %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3,34 %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5,00 %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6,67 %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14 % μέχρι 31/12/2016</w:t>
            </w:r>
          </w:p>
          <w:p>
            <w:pPr>
              <w:spacing w:before="240" w:after="240"/>
              <w:rPr>
                <w:b w:val="0"/>
                <w:bCs w:val="0"/>
                <w:i w:val="0"/>
                <w:iCs w:val="0"/>
                <w:smallCaps w:val="0"/>
                <w:color w:val="000000"/>
                <w:lang w:val="el" w:eastAsia="el"/>
              </w:rPr>
            </w:pPr>
            <w:r>
              <w:rPr>
                <w:b w:val="0"/>
                <w:bCs w:val="0"/>
                <w:i w:val="0"/>
                <w:iCs w:val="0"/>
                <w:smallCaps w:val="0"/>
                <w:color w:val="000000"/>
                <w:lang w:val="el" w:eastAsia="el"/>
              </w:rPr>
              <w:t>13,83 % από 1/1/2017</w:t>
            </w:r>
          </w:p>
          <w:p>
            <w:pPr>
              <w:spacing w:before="240" w:after="240"/>
              <w:rPr>
                <w:b w:val="0"/>
                <w:bCs w:val="0"/>
                <w:i w:val="0"/>
                <w:iCs w:val="0"/>
                <w:smallCaps w:val="0"/>
                <w:color w:val="000000"/>
                <w:lang w:val="el" w:eastAsia="el"/>
              </w:rPr>
            </w:pPr>
            <w:r>
              <w:rPr>
                <w:b w:val="0"/>
                <w:bCs w:val="0"/>
                <w:i w:val="0"/>
                <w:iCs w:val="0"/>
                <w:smallCaps w:val="0"/>
                <w:color w:val="000000"/>
                <w:lang w:val="el" w:eastAsia="el"/>
              </w:rPr>
              <w:t>13,67 % από 1/1/2018</w:t>
            </w:r>
          </w:p>
          <w:p>
            <w:pPr>
              <w:spacing w:before="240" w:after="240"/>
              <w:rPr>
                <w:b w:val="0"/>
                <w:bCs w:val="0"/>
                <w:i w:val="0"/>
                <w:iCs w:val="0"/>
                <w:smallCaps w:val="0"/>
                <w:color w:val="000000"/>
                <w:lang w:val="el" w:eastAsia="el"/>
              </w:rPr>
            </w:pPr>
            <w:r>
              <w:rPr>
                <w:b w:val="0"/>
                <w:bCs w:val="0"/>
                <w:i w:val="0"/>
                <w:iCs w:val="0"/>
                <w:smallCaps w:val="0"/>
                <w:color w:val="000000"/>
                <w:lang w:val="el" w:eastAsia="el"/>
              </w:rPr>
              <w:t>13,50 % από 1/1/2019</w:t>
            </w:r>
          </w:p>
          <w:p>
            <w:pPr>
              <w:spacing w:before="240"/>
              <w:rPr>
                <w:b w:val="0"/>
                <w:bCs w:val="0"/>
                <w:i w:val="0"/>
                <w:iCs w:val="0"/>
                <w:smallCaps w:val="0"/>
                <w:color w:val="000000"/>
                <w:lang w:val="el" w:eastAsia="el"/>
              </w:rPr>
            </w:pPr>
            <w:r>
              <w:rPr>
                <w:b w:val="0"/>
                <w:bCs w:val="0"/>
                <w:i w:val="0"/>
                <w:iCs w:val="0"/>
                <w:smallCaps w:val="0"/>
                <w:color w:val="000000"/>
                <w:lang w:val="el" w:eastAsia="el"/>
              </w:rPr>
              <w:t>13,33 % από 1/1/2020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 40 παρ. 5 ν. 4387/2016</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Δεκεμβρίου 2016</w:t>
      </w:r>
    </w:p>
    <w:p>
      <w:pPr>
        <w:spacing w:before="240" w:after="240"/>
        <w:rPr>
          <w:lang w:val="el" w:eastAsia="el"/>
        </w:rPr>
      </w:pPr>
      <w:r>
        <w:rPr>
          <w:lang w:val="el" w:eastAsia="el"/>
        </w:rPr>
        <w:t>Ο Υφυπουργός</w:t>
      </w:r>
    </w:p>
    <w:p>
      <w:pPr>
        <w:spacing w:before="240" w:after="240"/>
        <w:rPr>
          <w:lang w:val="el" w:eastAsia="el"/>
        </w:rPr>
      </w:pPr>
      <w:r>
        <w:rPr>
          <w:b/>
          <w:bCs/>
          <w:lang w:val="el" w:eastAsia="el"/>
        </w:rPr>
        <w:t>ΑΝΑΣΤΑΣΙΟΣ ΠΕΤΡΟΠΟΥΛΟΣ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