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</w:t>
      </w: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ΩΘ1ΜΗ-ΒΕΓ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23/12/2016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(ΔΗΜΟΣΙΕΥΤΗΚΕ ΣΤΟ ΦΕΚ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4344/30.12.2016)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 1199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Σίνα 2 - 4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106 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Τ. Σφελινιώτη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210 - 3645832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210 - 3645413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dfpa.b1@1992.syzefxis.gov.gr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Τύπος και περιεχόμενο της «Δήλωσης Αποθεμάτων Μετάταξης» -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Έντυπο 012 – Φ.Π.Α.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περίπτωσης γ΄ της παραγράφου 14 του άρθρου 41 του Κώδικα ΦΠΑ (κυρ. ν.2859/2000), όπως ισχύει μετά την αντικατάστασή του με το άρθρο 47 του ν.4410/2016 (ΦΕΚ Α΄ 141/03.08.2016), σύμφωνα με τις οποίες με απόφαση του Γενικού Γραμματέα Δημοσίων Εσόδων ορίζεται, μεταξύ άλλων, ο τύπος και το περιεχόμενο της δήλωσης αποθεμάτων, καθώς επίσης και τα συνυποβαλλόμενα στοιχεία.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ακόλουθες διατάξεις του Κώδικα Φ.Π.Α.: α) τις διατάξεις των παραγράφων 7 - 11 του άρθρου 41, β) τις διατάξεις της παραγράφου 3 του άρθρου 64.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Π.Δ. 111/2014 (ΦΕΚ Α΄ 178) «Οργανισμός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υποπαραγράφου Ε.2 της παρ. Ε του άρθρου πρώτου του ν.4093/2012 (ΦΕΚ Α΄ 222), όπως ισχύει, περί σύστασης θέσης Γενικού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ΠΥΣ 1/20.01.2016 «Επιλογή και διορισμός Γενικού Γραμματέα της Γενικής Γραμματείας Δημοσίων Εσόδων του Υπουργείου Οικονομικών (ΦΕΚ ΥΟΔΔ/18).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ανάγκη επικαιροποίησης του εντύπου σύμφωνα με την ισχύουσα φορολογική νομοθεσία.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γεγονός ότι από τις διατάξεις της παρούσας απόφασης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Ορίζουμε τον τύπο και το περιεχόμενο της «Δήλωσης Αποθεμάτων Μετάταξης» (012 – Φ.Π.Α.) όπως το υπόδειγμα που επισυνάπτεται στην παρούσα απόφαση.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έντυπο αυτό ισχύει για δηλώσεις αποθεμάτων μετάταξης που υποβάλλονται από το φορολογικό έτος 2017 και εφεξής, ακόμα και αν αφορούν σε πράξεις προηγούμενων φορολογικών ετών.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παρούσα απόφαση, η οποία ισχύει από 01.01.2017,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Γενικός ΓραμματέαςΔημοσίων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Πιτσιλής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Υπηρεσία TAXISnet για ανάρτηση στην ιστοσελίδα της ΓΓΠΣ.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Υποστήριξης Ηλεκτρονικών Υπηρεσιών για ανάρτηση στην ιστοσελίδα της ΓΓΔΕ.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μόνο οι αριθ. 1,4 και 5.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lang w:val="el" w:eastAsia="el"/>
        </w:rPr>
        <w:t>Αποδέκτες Πίνακα Β΄.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434"/>
        <w:gridCol w:w="434"/>
        <w:gridCol w:w="391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10,17 και 18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ΙE΄.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 ΙΗ΄.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Οικονομικής Πολιτικής.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Πληρ. Συστημάτων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Γεν.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Δ.Ε.Ε.Φ 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b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