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152149/1472</w:t>
      </w:r>
    </w:p>
    <w:p>
      <w:pPr>
        <w:spacing w:before="240" w:after="240"/>
        <w:rPr>
          <w:lang w:val="el" w:eastAsia="el"/>
        </w:rPr>
      </w:pPr>
      <w:r>
        <w:rPr>
          <w:b/>
          <w:bCs/>
          <w:lang w:val="el" w:eastAsia="el"/>
        </w:rPr>
        <w:t>Τροποποίηση της κοινής υπουργικής απόφασης αριθ. 134627/5835/23-12-2015 (ΦΕΚ 2872 Β’) «Καθορισμός αρμόδιων αρχών, μέτρων και διαδικασιών για την εφαρμογή του Κανονισμού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και των σχετικών με αυτόν, κατ' εξουσιοδότηση και εκτελεστικών, Κανονισμών της επιτροπής που εκδίδονται για την εφαρμογή του».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 ΟΙΚΟΝΟΜΙΑΣ ΚΑΙ ΑΝΑΠΤΥΞΗΣ - ΕΞΩΤΕΡΙΚΩΝ -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του άρθρου δεύτερου του ν. 2077/1992 «Κύρωση Συνθήκης για την Ευρωπαϊκή Ένωση » (Α’136) και τις διατάξεις του άρθρου 1 και 2 (παρ. ζ) του ν. 1338/1983 «Εφαρμογή του Κοινοτικού Δικαίου» (Α’34) όπως τροποποιήθηκε με το άρθρο 6 του ν. 1440/1984 «Συμμετοχή της Ελλάδας στο κεφάλαιο, στα αποθεματικά και στις προβλέψεις της Ευρωπαϊκής Τράπεζας Επενδύσεων, στο κεφάλαιο της Ευρωπαϊκής Κοινότητας Άνθρακος και Χάλυβος και του Οργανισμού Εφοδιασμού ΕΥΡΑΤΟΜ» (Α’70) και του άρθρου 3 του ν. 1338/1983, όπως αντικαταστάθηκε από τις διατάξεις του άρθρου 65 του ν. 1892/1990 (Α’101).</w:t>
      </w:r>
    </w:p>
    <w:p>
      <w:pPr>
        <w:spacing w:before="240" w:after="240"/>
        <w:rPr>
          <w:lang w:val="el" w:eastAsia="el"/>
        </w:rPr>
      </w:pPr>
      <w:r>
        <w:rPr>
          <w:lang w:val="el" w:eastAsia="el"/>
        </w:rPr>
        <w:t>2. Τις διατάξεις του άρθρου 77 του ν. 4270/2014 «Αρχές δημοσιονομικής διαχείρισης και εποπτείας - δημόσιο λογιστικό και άλλες διατάξεις» (Α’143).</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w:t>
      </w:r>
    </w:p>
    <w:p>
      <w:pPr>
        <w:spacing w:before="240" w:after="240"/>
        <w:rPr>
          <w:lang w:val="el" w:eastAsia="el"/>
        </w:rPr>
      </w:pPr>
      <w:r>
        <w:rPr>
          <w:lang w:val="el" w:eastAsia="el"/>
        </w:rPr>
        <w:t>4. Τις διατάξεις του Δασικού Κώδικα ν.δ. 86/69 (Α’7), όπως τροποποιήθηκε και ισχύει.</w:t>
      </w:r>
    </w:p>
    <w:p>
      <w:pPr>
        <w:spacing w:before="240" w:after="240"/>
        <w:rPr>
          <w:lang w:val="el" w:eastAsia="el"/>
        </w:rPr>
      </w:pPr>
      <w:r>
        <w:rPr>
          <w:lang w:val="el" w:eastAsia="el"/>
        </w:rPr>
        <w:t>5. Τις διατάξεις του π.δ. 24/2015 (Α’20) «Σύσταση και μετονομασία Υπουργείων, μεταφορά της Γενικής Γραμματείας Κοινωνικών Ασφαλίσεων».</w:t>
      </w:r>
    </w:p>
    <w:p>
      <w:pPr>
        <w:spacing w:before="240" w:after="240"/>
        <w:rPr>
          <w:lang w:val="el" w:eastAsia="el"/>
        </w:rPr>
      </w:pPr>
      <w:r>
        <w:rPr>
          <w:lang w:val="el" w:eastAsia="el"/>
        </w:rPr>
        <w:t>6. Τις διατάξεις του π.δ. 70/2015 (Α’114)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spacing w:before="240" w:after="240"/>
        <w:rPr>
          <w:lang w:val="el" w:eastAsia="el"/>
        </w:rPr>
      </w:pPr>
      <w:r>
        <w:rPr>
          <w:lang w:val="el" w:eastAsia="el"/>
        </w:rPr>
        <w:t>7. Τις διατάξεις του π.δ. 123/2016 (Α’208) «Ανασύσταση και μετονομασία το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spacing w:before="240" w:after="240"/>
        <w:rPr>
          <w:lang w:val="el" w:eastAsia="el"/>
        </w:rPr>
      </w:pPr>
      <w:r>
        <w:rPr>
          <w:lang w:val="el" w:eastAsia="el"/>
        </w:rPr>
        <w:t>8. Την υπ’ αριθμ. Υ172/4-11-2016 (Β’ 3610) απόφαση του Πρωθυπουργού «Καθορισμός σειράς τάξης των Υπουργείων».</w:t>
      </w:r>
    </w:p>
    <w:p>
      <w:pPr>
        <w:spacing w:before="240" w:after="240"/>
        <w:rPr>
          <w:lang w:val="el" w:eastAsia="el"/>
        </w:rPr>
      </w:pPr>
      <w:r>
        <w:rPr>
          <w:lang w:val="el" w:eastAsia="el"/>
        </w:rPr>
        <w:t>9. Την υπ’ αριθμ. Υ173/4-11-2016 (Β’ 3610) απόφαση του Πρωθυπουργού «Σύσταση θέσεων Αναπληρωτών Υπουργών κα Υφυπουργών».</w:t>
      </w:r>
    </w:p>
    <w:p>
      <w:pPr>
        <w:spacing w:before="240" w:after="240"/>
        <w:rPr>
          <w:lang w:val="el" w:eastAsia="el"/>
        </w:rPr>
      </w:pPr>
      <w:r>
        <w:rPr>
          <w:lang w:val="el" w:eastAsia="el"/>
        </w:rPr>
        <w:t>10. Το π.δ. 125/5-11-2016 (Α’ 210) «Διορισμός Υπουργών, Αναπληρωτών Υπουργών και Υφυπουργών».</w:t>
      </w:r>
    </w:p>
    <w:p>
      <w:pPr>
        <w:spacing w:before="240" w:after="240"/>
        <w:rPr>
          <w:lang w:val="el" w:eastAsia="el"/>
        </w:rPr>
      </w:pPr>
      <w:r>
        <w:rPr>
          <w:lang w:val="el" w:eastAsia="el"/>
        </w:rPr>
        <w:t>11. Την υπ’ αριθμ. Υ198/16-11-2016 (Β’ 3722) απόφαση του Πρωθυπουργού «Ανάθεση αρμοδιοτήτων στον Αναπληρωτή Υπουργό Περιβάλλοντος και Ενέργειας, Σωκράτη Φάμελλο».</w:t>
      </w:r>
    </w:p>
    <w:p>
      <w:pPr>
        <w:spacing w:before="240" w:after="240"/>
        <w:rPr>
          <w:lang w:val="el" w:eastAsia="el"/>
        </w:rPr>
      </w:pPr>
      <w:r>
        <w:rPr>
          <w:lang w:val="el" w:eastAsia="el"/>
        </w:rPr>
        <w:t>12. Την υπ’ αριθμ. Υ186/10-11-2016 (Β’ 3671) απόφαση του Πρωθυπουργού «Ανάθεση αρμοδιοτήτων στον Αναπληρωτή Υπουργό Εσωτερικών Νικόλαο Τόσκα».</w:t>
      </w:r>
    </w:p>
    <w:p>
      <w:pPr>
        <w:spacing w:before="240" w:after="240"/>
        <w:rPr>
          <w:lang w:val="el" w:eastAsia="el"/>
        </w:rPr>
      </w:pPr>
      <w:r>
        <w:rPr>
          <w:lang w:val="el" w:eastAsia="el"/>
        </w:rPr>
        <w:t>13. Την υπ’ αριθμ. Π23ΥΦΥΠ-39553 (Β’ 2223) απόφαση του Πρωθυπουργού και του Υπουργού Εξωτερικών «Καθορισμός αρμοδιοτήτων Υφυπουργού Εξωτερικών Ιωάννη Αμανατίδη».</w:t>
      </w:r>
    </w:p>
    <w:p>
      <w:pPr>
        <w:spacing w:before="240" w:after="240"/>
        <w:rPr>
          <w:lang w:val="el" w:eastAsia="el"/>
        </w:rPr>
      </w:pPr>
      <w:r>
        <w:rPr>
          <w:lang w:val="el" w:eastAsia="el"/>
        </w:rPr>
        <w:t>14. Την υπ’ αριθμ. ΥΠΟΙΚ 0010218 ΕΞ 2016/14-11-2016 (Β’ 3696) κοινή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15. Τον Κανονισμό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(EEL 295 της 12-11-2010) και τους Κανονισμούς της Ευρωπαϊκής επιτροπής που εκδίδονται σε εφαρμογή του:</w:t>
      </w:r>
    </w:p>
    <w:p>
      <w:pPr>
        <w:pStyle w:val="StructureList1"/>
        <w:spacing w:before="120" w:after="0"/>
        <w:rPr>
          <w:lang w:val="el" w:eastAsia="el"/>
        </w:rPr>
      </w:pPr>
      <w:r>
        <w:rPr>
          <w:lang w:val="el" w:eastAsia="el"/>
        </w:rPr>
        <w:t>α)</w:t>
      </w:r>
      <w:r>
        <w:rPr>
          <w:lang w:val="en" w:eastAsia="en"/>
        </w:rPr>
        <w:tab/>
      </w:r>
      <w:r>
        <w:rPr>
          <w:lang w:val="el" w:eastAsia="el"/>
        </w:rPr>
        <w:t>Τον κατ’ εξουσιοδότηση Κανονισμό (ΕΕ) αριθ. 363/2012 της επιτροπής της 23ης Φεβρουαρίου 2012 «σχετικά με τους διαδικαστικούς κανόνες για την αναγνώριση και την ανάκληση της αναγνώρισης των οργανισμών παρακολούθησης που προβλέπονται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όπως ισχύει.</w:t>
      </w:r>
    </w:p>
    <w:p>
      <w:pPr>
        <w:pStyle w:val="StructureList1"/>
        <w:spacing w:before="120" w:after="0"/>
        <w:rPr>
          <w:lang w:val="el" w:eastAsia="el"/>
        </w:rPr>
      </w:pPr>
      <w:r>
        <w:rPr>
          <w:lang w:val="el" w:eastAsia="el"/>
        </w:rPr>
        <w:t>β)</w:t>
      </w:r>
      <w:r>
        <w:rPr>
          <w:lang w:val="en" w:eastAsia="en"/>
        </w:rPr>
        <w:tab/>
      </w:r>
      <w:r>
        <w:rPr>
          <w:lang w:val="el" w:eastAsia="el"/>
        </w:rPr>
        <w:t>Τον Εκτελεστικό Κανονισμό (ΕΕ) αριθ. 607/2012 της επιτροπής της 6ης Ιουλίου 2012 «περί λεπτομερών κανόνων σχετικά με το σύστημα δέουσας επιμέλειας και με τη συχνότητα και τη φύση των ελέγχων στους οργανισμούς παρακολούθησης όπως προβλέπεται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όπως ισχύει.</w:t>
      </w:r>
    </w:p>
    <w:p>
      <w:pPr>
        <w:spacing w:before="240" w:after="240"/>
        <w:rPr>
          <w:lang w:val="el" w:eastAsia="el"/>
        </w:rPr>
      </w:pPr>
      <w:r>
        <w:rPr>
          <w:lang w:val="el" w:eastAsia="el"/>
        </w:rPr>
        <w:t>16. Την υπ’ αριθμ. 224784/3669/05-12-2011 (Β’2998) κοινή απόφαση των Υπουργών Ανάπτυξης, Ανταγωνιστικότητας και Ναυτιλίας και Περιβάλλοντος, Ενέργειας και Κλιματικής Αλλαγής «Ορισμός αρμόδιας αρχής για την εφαρμογή του υπ’ αριθμ. 995/2010 Κανονισμού (ΕΕ) του Ευρωπαϊκού Κοινοβουλίου και του Συμβουλίου (L295/12-11-2010)».</w:t>
      </w:r>
    </w:p>
    <w:p>
      <w:pPr>
        <w:spacing w:before="240" w:after="240"/>
        <w:rPr>
          <w:lang w:val="el" w:eastAsia="el"/>
        </w:rPr>
      </w:pPr>
      <w:r>
        <w:rPr>
          <w:lang w:val="el" w:eastAsia="el"/>
        </w:rPr>
        <w:t>17. Το π.δ. 100/2014 «Οργανισμός Υπουργείου Περιβάλλοντος, Ενέργειας και Κλιματικής Αλλαγής» (Α’ 167). 18. Το ν.δ. 356/74 (Κώδικας Είσπραξης Δημοσίων Εσόδων Κ.Ε.Δ.Ε.), καθώς και το π.δ. 16/1989 (Κανονισμός Λειτουργίας Δ.Ο.Υ.), όπως ισχύουν.</w:t>
      </w:r>
    </w:p>
    <w:p>
      <w:pPr>
        <w:spacing w:before="240" w:after="240"/>
        <w:rPr>
          <w:lang w:val="el" w:eastAsia="el"/>
        </w:rPr>
      </w:pPr>
      <w:r>
        <w:rPr>
          <w:lang w:val="el" w:eastAsia="el"/>
        </w:rPr>
        <w:t>19. Την κοινή υπουργική απόφαση αριθ. 134627/5835/ 23-12-2015 (ΦΕΚ 2872 Β’) «Καθορισμός αρμόδιων αρχών, μέτρων και διαδικασιών για την εφαρμογή του Κανονισμού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και των σχετικών με αυτόν, κατ' εξουσιοδότηση και εκτελεστικών, Κανονισμών της επιτροπής που εκδίδονται για την εφαρμογή του».</w:t>
      </w:r>
    </w:p>
    <w:p>
      <w:pPr>
        <w:spacing w:before="240" w:after="240"/>
        <w:rPr>
          <w:lang w:val="el" w:eastAsia="el"/>
        </w:rPr>
      </w:pPr>
      <w:r>
        <w:rPr>
          <w:lang w:val="el" w:eastAsia="el"/>
        </w:rPr>
        <w:t>Την κοινή υπουργική απόφαση αριθ. 144531/4225/ 03-08-2016 (ΦΕΚ 2532 Β’) «Παράταση προθεσμίας υποβολής αίτησης εγγραφής στα Περιφερειακά Μητρώα «Φορέων Εκμετάλλευσης» και «Εμπόρων» της κοινής υπουργικής απόφασης 134627/5835/23-12-2015 (ΦΕΚ 2872 Β’)».</w:t>
      </w:r>
    </w:p>
    <w:p>
      <w:pPr>
        <w:spacing w:before="240" w:after="240"/>
        <w:rPr>
          <w:lang w:val="el" w:eastAsia="el"/>
        </w:rPr>
      </w:pPr>
      <w:r>
        <w:rPr>
          <w:lang w:val="el" w:eastAsia="el"/>
        </w:rPr>
        <w:t>21. Την κοινή υπουργική απόφαση αριθ. 146506/5185/ 19-10-2016 (ΦΕΚ 3457 Β’) «Παράταση προθεσμίας υποβολής αίτησης εγγραφής στα Περιφερειακά Μητρώα «Φορέων Εκμετάλλευσης» και «Εμπόρων» της κοινής υπουργικής απόφασης 134627/5835/23-12-2015 (ΦΕΚ 2872 Β’)».</w:t>
      </w:r>
    </w:p>
    <w:p>
      <w:pPr>
        <w:spacing w:before="240" w:after="240"/>
        <w:rPr>
          <w:lang w:val="el" w:eastAsia="el"/>
        </w:rPr>
      </w:pPr>
      <w:r>
        <w:rPr>
          <w:lang w:val="el" w:eastAsia="el"/>
        </w:rPr>
        <w:t>22. Το αριθ. Φ.2/24</w:t>
      </w:r>
      <w:r>
        <w:rPr>
          <w:sz w:val="30"/>
          <w:szCs w:val="30"/>
          <w:vertAlign w:val="superscript"/>
          <w:lang w:val="el" w:eastAsia="el"/>
        </w:rPr>
        <w:t>α</w:t>
      </w:r>
      <w:r>
        <w:rPr>
          <w:lang w:val="el" w:eastAsia="el"/>
        </w:rPr>
        <w:t>/1204/22.5/4.6.2016 έγγραφο της Ιεράς Κοινότητος του Αγίου όρους Άθω.</w:t>
      </w:r>
    </w:p>
    <w:p>
      <w:pPr>
        <w:spacing w:before="240" w:after="240"/>
        <w:rPr>
          <w:lang w:val="el" w:eastAsia="el"/>
        </w:rPr>
      </w:pPr>
      <w:r>
        <w:rPr>
          <w:lang w:val="el" w:eastAsia="el"/>
        </w:rPr>
        <w:t>23. Τα πρακτικά των: 1ης (7.9.2016) και 2ης (14.10.2016) Συνεδριάσεων της Τεχνικής Διυπουργικής Ομάδας Εργασίας (Τ.Δ.Ο.Ε.) που συστήθηκε με το άρθρο 3 της κοινής υπουργικής απόφασης αριθ. 134627/5835/23-12-2015 (ΦΕΚ Β/2872).</w:t>
      </w:r>
    </w:p>
    <w:p>
      <w:pPr>
        <w:spacing w:before="240" w:after="240"/>
        <w:rPr>
          <w:lang w:val="el" w:eastAsia="el"/>
        </w:rPr>
      </w:pPr>
      <w:r>
        <w:rPr>
          <w:lang w:val="el" w:eastAsia="el"/>
        </w:rPr>
        <w:t>24. Το άρθρο 105 του Συντάγματος της Ελλάδας (ΦΕΚ 120/Α/2008).</w:t>
      </w:r>
    </w:p>
    <w:p>
      <w:pPr>
        <w:spacing w:before="240" w:after="240"/>
        <w:rPr>
          <w:lang w:val="el" w:eastAsia="el"/>
        </w:rPr>
      </w:pPr>
      <w:r>
        <w:rPr>
          <w:lang w:val="el" w:eastAsia="el"/>
        </w:rPr>
        <w:t>25. Το από 10-09-1926 Νομοθετικό Διάταγμα «Περί κυρώσεως του Καταστατικού Χάρτου του Αγίου Όρους» (ΦΕΚ 309 Α’), και ιδίως το άρθρο 40 αυτού, καθώς και τα άρθρα 9 και 169 του Καταστατικού Χάρτου.</w:t>
      </w:r>
    </w:p>
    <w:p>
      <w:pPr>
        <w:spacing w:before="240" w:after="240"/>
        <w:rPr>
          <w:lang w:val="el" w:eastAsia="el"/>
        </w:rPr>
      </w:pPr>
      <w:r>
        <w:rPr>
          <w:lang w:val="el" w:eastAsia="el"/>
        </w:rPr>
        <w:t>26. Την από 24-02-1953 κοινή απόφαση των Υπουργών Εξωτερικών και Γεωργίας «Περί κυρώσεως Κανονιστικής διατάξεως της Ιεράς Δισενιαυσίου Συνάξεως του Αγίου Όρους» (ΦΕΚ 56 Α’), και ιδίως το άρθρο 5 αυτής.</w:t>
      </w:r>
    </w:p>
    <w:p>
      <w:pPr>
        <w:spacing w:before="240" w:after="240"/>
        <w:rPr>
          <w:lang w:val="el" w:eastAsia="el"/>
        </w:rPr>
      </w:pPr>
      <w:r>
        <w:rPr>
          <w:lang w:val="el" w:eastAsia="el"/>
        </w:rPr>
        <w:t>27. Την αριθ. Φ.7611.1/11/ΑΣ 983/ 20-09-1995 κοινή απόφαση των Υπουργών Εξωτερικών και Γεωργίας «Κύρωση Κανονιστικής Διατάξεως της Ιεράς Δισενιαυσίου Συνάξεως του Αγίου Όρους» (ΦΕΚ 893 Β’), και ιδίως το άρθρο 3 αυτής.</w:t>
      </w:r>
    </w:p>
    <w:p>
      <w:pPr>
        <w:spacing w:before="240" w:after="240"/>
        <w:rPr>
          <w:lang w:val="el" w:eastAsia="el"/>
        </w:rPr>
      </w:pPr>
      <w:r>
        <w:rPr>
          <w:lang w:val="el" w:eastAsia="el"/>
        </w:rPr>
        <w:t>28. Το γεγονός ότι από τις διατάξεις αυτής της απόφασης δεν προκαλείται δαπάνη σε βάρος του κρατικού τακτικού προϋπολογισμού, αποφασίζουμε:</w:t>
      </w:r>
    </w:p>
    <w:p>
      <w:pPr>
        <w:spacing w:before="240" w:after="240"/>
        <w:rPr>
          <w:lang w:val="el" w:eastAsia="el"/>
        </w:rPr>
      </w:pPr>
      <w:r>
        <w:rPr>
          <w:lang w:val="el" w:eastAsia="el"/>
        </w:rPr>
        <w:t>1. Στην παράγραφο 2 του άρθρου 2 της αριθμ. 134627/ 5835/23-12-2015 (ΦΕΚ 2872 Β’) κοινής υπουργικής απόφασης, προστίθεται τελευταίο εδάφιο ως εξής:</w:t>
      </w:r>
    </w:p>
    <w:p>
      <w:pPr>
        <w:spacing w:before="240" w:after="240"/>
        <w:rPr>
          <w:lang w:val="el" w:eastAsia="el"/>
        </w:rPr>
      </w:pPr>
      <w:r>
        <w:rPr>
          <w:lang w:val="el" w:eastAsia="el"/>
        </w:rPr>
        <w:t>«Ειδικά για την περιοχή του Αγίου Όρους Άθω, ορίζεται ως αρμόδια περιφερειακή αρχή η, συσταθείσα με το άρθρο 5 της από 24-02-1953 (ΦΕΚ 56 Α’) απόφασης των υπουργών Εξωτερικών και Γεωργίας, και με το άρθρο 3ον της κυρωθείσας με την αριθ. Φ7611.1/11/ ΑΣ 983/20-09-1995 (ΦΕΚ 893 Β’) απόφαση των υπουργών Εξωτερικών και Γεωργίας Κανονιστικής Διατάξεως της Ιεράς Δισενιαυσίου Συνάξεως του Αγίου Όρους, Δασική Εφορεία Αγίου Όρους.»</w:t>
      </w:r>
    </w:p>
    <w:p>
      <w:pPr>
        <w:spacing w:before="240" w:after="240"/>
        <w:rPr>
          <w:lang w:val="el" w:eastAsia="el"/>
        </w:rPr>
      </w:pPr>
      <w:r>
        <w:rPr>
          <w:lang w:val="el" w:eastAsia="el"/>
        </w:rPr>
        <w:t>2. Για τις ανάγκες της παρούσας απόφασης παρατείνεται μέχρι και την 30η ημέρα από την δημοσίευσή της στην Εφημερίδα της Κυβερνήσεως η προβλεπόμενη από την παράγραφο 8 του άρθρου 7 της κοινής υπουργικής απόφασης 134627/5835/23-12-2015 (ΦΕΚ 2872 Β’) προθεσμία για την υποβολή αίτησης, από τις υπόχρεες εγγραφής στα μητρώα που αναφέρονται στην εν λόγω διάταξη, Ιερές Μονές του Αγίου Όρους, στην ως άνω αρμόδια περιφερειακή αρχή προκειμένου αυτή να τις εγγράψει στο κατά περίπτωση Μητρώο.</w:t>
      </w:r>
    </w:p>
    <w:p>
      <w:pPr>
        <w:spacing w:before="240" w:after="240"/>
        <w:rPr>
          <w:lang w:val="el" w:eastAsia="el"/>
        </w:rPr>
      </w:pPr>
      <w:r>
        <w:rPr>
          <w:lang w:val="el" w:eastAsia="el"/>
        </w:rPr>
        <w:t>Κατά λοιπά ισχύει η ως άνω αριθ. 134627/5835/ 23-12-2015 (ΦΕΚ 2872 Β’) απόφαση, όπως τροποποιήθηκε με τις αριθ. 144531/4225/03-08-2016 (ΦΕΚ 2532 Β’) και 146506/5185/19-10-2016 (ΦΕΚ 3457 Β’)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Μαρτίου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ΔΗΜΟΣ ΠΑΠΑΔΗΜΗΤΡΙΟΥ</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Εξωτερικών</w:t>
      </w:r>
    </w:p>
    <w:p>
      <w:pPr>
        <w:spacing w:before="240" w:after="240"/>
        <w:rPr>
          <w:lang w:val="el" w:eastAsia="el"/>
        </w:rPr>
      </w:pPr>
      <w:r>
        <w:rPr>
          <w:lang w:val="el" w:eastAsia="el"/>
        </w:rPr>
        <w:t>ΙΩΑΝΝΗΣ ΑΜΑΝΑΤΙΔΗΣ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Περιβάλλοντος</w:t>
      </w:r>
    </w:p>
    <w:p>
      <w:pPr>
        <w:spacing w:before="240" w:after="240"/>
        <w:rPr>
          <w:lang w:val="el" w:eastAsia="el"/>
        </w:rPr>
      </w:pPr>
      <w:r>
        <w:rPr>
          <w:lang w:val="el" w:eastAsia="el"/>
        </w:rPr>
        <w:t>και Ενέργειας</w:t>
      </w:r>
    </w:p>
    <w:p>
      <w:pPr>
        <w:spacing w:before="240" w:after="240"/>
        <w:rPr>
          <w:lang w:val="el" w:eastAsia="el"/>
        </w:rPr>
      </w:pPr>
      <w:r>
        <w:rPr>
          <w:lang w:val="el" w:eastAsia="el"/>
        </w:rPr>
        <w:t>ΣΩΚΡΑΤΗΣ ΦΑΜΕΛΛΟΣ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