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ΠΟΛΙΤΙΚΗΣ ΔΙΕΥΘΥΝΣΗ ΕΦΑΡΜΟΓΗΣ ΕΜΜΕΣΗΣ ΦΟΡΟΛΟΓΙΑΣ ΤΜΗΜΑ Β΄ΤΕΛΩΝ ΚΑΙ ΕΙΔΙΚΩΝ ΦΟΡΟΛΟΓΙΩΝ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ΣΙΝΑ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10672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ΖΑΡΚΑΔΟΥΛΑ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2103644781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«Παροχή διευκρινίσεων ως προς το τέλος συνδρομητών σταθερής τηλεφωνίας»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Κατόπιν, γραπτών και προφορικών ερωτημάτων φορολογουμένων σχετικά με την εφαρμογή του τέλους συνδρομητών σταθερής τηλεφωνίας και σε συνέχεια των ΠΟΛ1091/2016 και 1184/2016, με τις οποίες κοινοποιήθηκαν οι σχετικές διατάξεις και καθορίσθηκε ο τύπος και το περιεχόμενο της δήλωσης απόδοσης του τέλους καθώς και η διαδικασία είσπραξης, αντίστοιχα, διευκρινίζουμε, περαιτέρω, για τις ανάγκες της ορθής είσπραξης του εν λόγω τέλους,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ΟΡΟΛΟΓΙΑ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 xml:space="preserve">Η έννοια των </w:t>
      </w:r>
      <w:r>
        <w:rPr>
          <w:b/>
          <w:bCs/>
          <w:u w:val="single"/>
          <w:lang w:val="el" w:eastAsia="el"/>
        </w:rPr>
        <w:t>υπηρεσιών σταθερής τηλεφωνίας</w:t>
      </w:r>
      <w:r>
        <w:rPr>
          <w:b/>
          <w:bCs/>
          <w:lang w:val="el" w:eastAsia="el"/>
        </w:rPr>
        <w:t>καταλαμβάνει: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υπηρεσίες φωνής </w:t>
      </w:r>
      <w:r>
        <w:rPr>
          <w:b/>
          <w:bCs/>
          <w:lang w:val="el" w:eastAsia="el"/>
        </w:rPr>
        <w:t xml:space="preserve">(πρόσβασης στο τηλεφωνικό δίκτυο ή/και κλήσεις) </w:t>
      </w:r>
      <w:r>
        <w:rPr>
          <w:b/>
          <w:bCs/>
          <w:lang w:val="el" w:eastAsia="el"/>
        </w:rPr>
        <w:t>που παρέχονται σε σταθερή θέση</w:t>
      </w:r>
      <w:r>
        <w:rPr>
          <w:b/>
          <w:bCs/>
          <w:lang w:val="el" w:eastAsia="el"/>
        </w:rPr>
        <w:t>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ευρυζωνικής πρόσβασης </w:t>
      </w:r>
      <w:r>
        <w:rPr>
          <w:b/>
          <w:bCs/>
          <w:lang w:val="el" w:eastAsia="el"/>
        </w:rPr>
        <w:t xml:space="preserve">ή/και </w:t>
      </w:r>
      <w:r>
        <w:rPr>
          <w:b/>
          <w:bCs/>
          <w:lang w:val="el" w:eastAsia="el"/>
        </w:rPr>
        <w:t xml:space="preserve">πρόσβασης στο Διαδίκτυο </w:t>
      </w:r>
      <w:r>
        <w:rPr>
          <w:b/>
          <w:bCs/>
          <w:lang w:val="el" w:eastAsia="el"/>
        </w:rPr>
        <w:t xml:space="preserve">(internet) </w:t>
      </w:r>
      <w:r>
        <w:rPr>
          <w:b/>
          <w:bCs/>
          <w:lang w:val="el" w:eastAsia="el"/>
        </w:rPr>
        <w:t>που παρέχονται σε σταθερή θέση.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έννοια καταλαμβάνει και την παροχή των ανωτέρω υπηρεσιών προς «σταθερή θέση», όταν αυτή πραγματοποιείται μέσω δορυφόρου.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Η έννοια του </w:t>
      </w:r>
      <w:r>
        <w:rPr>
          <w:b/>
          <w:bCs/>
          <w:u w:val="single"/>
          <w:lang w:val="el" w:eastAsia="el"/>
        </w:rPr>
        <w:t>παρόχου</w:t>
      </w:r>
      <w:r>
        <w:rPr>
          <w:b/>
          <w:bCs/>
          <w:lang w:val="el" w:eastAsia="el"/>
        </w:rPr>
        <w:t>υπηρεσιών σταθερής τηλεφωνίας καταλαμβάνει οποιοδήποτε πρόσωπο τιμολογεί, στο όνομά του, τις ανωτέρω υπηρεσίες σταθερής τηλεφωνίας.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Η έννοια του </w:t>
      </w:r>
      <w:r>
        <w:rPr>
          <w:b/>
          <w:bCs/>
          <w:u w:val="single"/>
          <w:lang w:val="el" w:eastAsia="el"/>
        </w:rPr>
        <w:t>συνδρομητή</w:t>
      </w:r>
      <w:r>
        <w:rPr>
          <w:b/>
          <w:bCs/>
          <w:lang w:val="el" w:eastAsia="el"/>
        </w:rPr>
        <w:t xml:space="preserve">σταθερής τηλεφωνίας καταλαμβάνει </w:t>
      </w:r>
      <w:r>
        <w:rPr>
          <w:b/>
          <w:bCs/>
          <w:lang w:val="el" w:eastAsia="el"/>
        </w:rPr>
        <w:t xml:space="preserve">κάθε φυσικό ή νομικό πρόσωπο το οποίο λαμβάνει τις παραπάνω υπηρεσίες ως τελικός καταναλωτής-χρήστης </w:t>
      </w:r>
      <w:r>
        <w:rPr>
          <w:b/>
          <w:bCs/>
          <w:lang w:val="el" w:eastAsia="el"/>
        </w:rPr>
        <w:t>και για τις οποίες εκδίδεται από τον πάροχο λογαριασμός για την λήψη των εν λόγω υπηρεσιών.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Κατά την έννοια αυτή οι </w:t>
      </w:r>
      <w:r>
        <w:rPr>
          <w:b/>
          <w:bCs/>
          <w:lang w:val="el" w:eastAsia="el"/>
        </w:rPr>
        <w:t xml:space="preserve">«μεταπωλητές» </w:t>
      </w:r>
      <w:r>
        <w:rPr>
          <w:b/>
          <w:bCs/>
          <w:lang w:val="el" w:eastAsia="el"/>
        </w:rPr>
        <w:t>των εν λόγω υπηρεσιών δεν διαφέρουν από τους πωλητές – προμηθευτές τους, εφόσον οι πρώτοι τιμολογούν τις επίμαχες υπηρεσίες σταθερής τηλεφωνίας στο όνομά τους και όχι στο όνομα των προμηθευτών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>ΕΠΙΒΟΛΗ ΤΟΥ ΤΕΛΟΥΣ ΣΤΑΘΕΡΗΣ ΤΗΛΕΦΩΝΙΑΣ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 τέλος επιβάλλεται: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 xml:space="preserve">- σε κάθε </w:t>
      </w:r>
      <w:r>
        <w:rPr>
          <w:b/>
          <w:bCs/>
          <w:lang w:val="el" w:eastAsia="el"/>
        </w:rPr>
        <w:t xml:space="preserve">λογαριασμό </w:t>
      </w:r>
      <w:r>
        <w:rPr>
          <w:b/>
          <w:bCs/>
          <w:lang w:val="el" w:eastAsia="el"/>
        </w:rPr>
        <w:t xml:space="preserve">που εκδίδεται για την παροχή υπηρεσιών φωνής (πρόσβασης στο τηλεφωνικό δίκτυο ή/και κλήσεις) </w:t>
      </w:r>
      <w:r>
        <w:rPr>
          <w:b/>
          <w:bCs/>
          <w:u w:val="single"/>
          <w:lang w:val="el" w:eastAsia="el"/>
        </w:rPr>
        <w:t>με χρήση γεωγραφικών αριθμών από το Εθνικό Σχέδιο Αριθμοδότησης,</w:t>
      </w:r>
      <w:r>
        <w:rPr>
          <w:b/>
          <w:bCs/>
          <w:lang w:val="el" w:eastAsia="el"/>
        </w:rPr>
        <w:t xml:space="preserve"> καθώς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σε κάθε </w:t>
      </w:r>
      <w:r>
        <w:rPr>
          <w:b/>
          <w:bCs/>
          <w:lang w:val="el" w:eastAsia="el"/>
        </w:rPr>
        <w:t xml:space="preserve">λογαριασμό </w:t>
      </w:r>
      <w:r>
        <w:rPr>
          <w:b/>
          <w:bCs/>
          <w:lang w:val="el" w:eastAsia="el"/>
        </w:rPr>
        <w:t xml:space="preserve">που εκδίδεται για υπηρεσίες ευρυζωνικής πρόσβασης ή/και πρόσβασης στο Διαδίκτυο (internet) </w:t>
      </w:r>
      <w:r>
        <w:rPr>
          <w:b/>
          <w:bCs/>
          <w:u w:val="single"/>
          <w:lang w:val="el" w:eastAsia="el"/>
        </w:rPr>
        <w:t>εφόσον αυτές παρέχονται σε «σταθερή θέση»</w:t>
      </w:r>
      <w:r>
        <w:rPr>
          <w:b/>
          <w:b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Κατά την έννοια αυτή το τέλος επιβάλλεται στους λογαριασμούς που εκδίδονται </w:t>
      </w:r>
      <w:r>
        <w:rPr>
          <w:b/>
          <w:bCs/>
          <w:u w:val="single"/>
          <w:lang w:val="el" w:eastAsia="el"/>
        </w:rPr>
        <w:t>είτε</w:t>
      </w:r>
      <w:r>
        <w:rPr>
          <w:b/>
          <w:bCs/>
          <w:lang w:val="el" w:eastAsia="el"/>
        </w:rPr>
        <w:t xml:space="preserve"> από παρόχους σταθερής </w:t>
      </w:r>
      <w:r>
        <w:rPr>
          <w:b/>
          <w:bCs/>
          <w:u w:val="single"/>
          <w:lang w:val="el" w:eastAsia="el"/>
        </w:rPr>
        <w:t>είτε</w:t>
      </w:r>
      <w:r>
        <w:rPr>
          <w:b/>
          <w:bCs/>
          <w:lang w:val="el" w:eastAsia="el"/>
        </w:rPr>
        <w:t xml:space="preserve"> από παρόχους κινητής τηλεφωνίας.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 xml:space="preserve">- σε κάθε </w:t>
      </w:r>
      <w:r>
        <w:rPr>
          <w:b/>
          <w:bCs/>
          <w:lang w:val="el" w:eastAsia="el"/>
        </w:rPr>
        <w:t xml:space="preserve">σύνδεση </w:t>
      </w:r>
      <w:r>
        <w:rPr>
          <w:b/>
          <w:bCs/>
          <w:lang w:val="el" w:eastAsia="el"/>
        </w:rPr>
        <w:t xml:space="preserve">για την οποία εκχωρείται </w:t>
      </w:r>
      <w:r>
        <w:rPr>
          <w:b/>
          <w:bCs/>
          <w:u w:val="single"/>
          <w:lang w:val="el" w:eastAsia="el"/>
        </w:rPr>
        <w:t>γεωγραφικός αριθμός</w:t>
      </w:r>
      <w:r>
        <w:rPr>
          <w:b/>
          <w:bCs/>
          <w:lang w:val="el" w:eastAsia="el"/>
        </w:rPr>
        <w:t xml:space="preserve"> από το Εθνικό Σχέδιο Αριθμοδότησης, καθώς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σε κάθε </w:t>
      </w:r>
      <w:r>
        <w:rPr>
          <w:b/>
          <w:bCs/>
          <w:lang w:val="el" w:eastAsia="el"/>
        </w:rPr>
        <w:t xml:space="preserve">λογαριασμό </w:t>
      </w:r>
      <w:r>
        <w:rPr>
          <w:b/>
          <w:bCs/>
          <w:lang w:val="el" w:eastAsia="el"/>
        </w:rPr>
        <w:t xml:space="preserve">που εκδίδεται </w:t>
      </w:r>
      <w:r>
        <w:rPr>
          <w:b/>
          <w:bCs/>
          <w:u w:val="single"/>
          <w:lang w:val="el" w:eastAsia="el"/>
        </w:rPr>
        <w:t>για τη χρήση αριθμών των σειρών 800 και 801</w:t>
      </w:r>
      <w:r>
        <w:rPr>
          <w:b/>
          <w:bCs/>
          <w:lang w:val="el" w:eastAsia="el"/>
        </w:rPr>
        <w:t xml:space="preserve"> καθώς και </w:t>
      </w:r>
      <w:r>
        <w:rPr>
          <w:b/>
          <w:bCs/>
          <w:u w:val="single"/>
          <w:lang w:val="el" w:eastAsia="el"/>
        </w:rPr>
        <w:t>σύντομων κωδικών</w:t>
      </w:r>
      <w:r>
        <w:rPr>
          <w:b/>
          <w:bCs/>
          <w:lang w:val="el" w:eastAsia="el"/>
        </w:rPr>
        <w:t xml:space="preserve"> του Εθνικού Σχεδίου Αριθμοδότησης.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στην αγορά προπληρωμένου χρόνου </w:t>
      </w:r>
      <w:r>
        <w:rPr>
          <w:b/>
          <w:bCs/>
          <w:lang w:val="el" w:eastAsia="el"/>
        </w:rPr>
        <w:t xml:space="preserve">ομιλίας συμπεριλαμβανομένων και καρτών </w:t>
      </w:r>
      <w:r>
        <w:rPr>
          <w:b/>
          <w:bCs/>
          <w:u w:val="single"/>
          <w:lang w:val="el" w:eastAsia="el"/>
        </w:rPr>
        <w:t>με χρήση αριθμών της σειράς 807</w:t>
      </w:r>
      <w:r>
        <w:rPr>
          <w:b/>
          <w:bCs/>
          <w:lang w:val="el" w:eastAsia="el"/>
        </w:rPr>
        <w:t xml:space="preserve"> του Εθνικού Σχεδίου Αριθμοδότησης , όπου </w:t>
      </w:r>
      <w:r>
        <w:rPr>
          <w:b/>
          <w:bCs/>
          <w:u w:val="single"/>
          <w:lang w:val="el" w:eastAsia="el"/>
        </w:rPr>
        <w:t>οι κλήσεις πραγματοποιούνται μέσω σταθερής τηλεφωνικής γραμμής,</w:t>
      </w:r>
      <w:r>
        <w:rPr>
          <w:b/>
          <w:bCs/>
          <w:lang w:val="el" w:eastAsia="el"/>
        </w:rPr>
        <w:t xml:space="preserve"> στο βαθμό που οι πάροχοι των υπηρεσιών αυτών, είτε πρόκειται για ημεδαπές είτε για αλλοδαπές εταιρείες, έχουν λάβει Γενική Άδεια από την Εθνική Επιτροπή Τηλεπικοινωνιών και Ταχυδρομείων (ΕΕΤΤ).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Δ. στην παροχή μισθωμένων γραμμών </w:t>
      </w:r>
      <w:r>
        <w:rPr>
          <w:b/>
          <w:bCs/>
          <w:lang w:val="el" w:eastAsia="el"/>
        </w:rPr>
        <w:t xml:space="preserve">συμπεριλαμβανομένης της τεχνολογίας </w:t>
      </w:r>
      <w:r>
        <w:rPr>
          <w:b/>
          <w:bCs/>
          <w:lang w:val="el" w:eastAsia="el"/>
        </w:rPr>
        <w:t xml:space="preserve">Ethernet </w:t>
      </w:r>
      <w:r>
        <w:rPr>
          <w:b/>
          <w:bCs/>
          <w:lang w:val="el" w:eastAsia="el"/>
        </w:rPr>
        <w:t xml:space="preserve">που παρέχονται – ιδίως σε εταιρείες -, κατά το μέρος που αφορούν πρόσβαση στο τηλεφωνικό δίκτυο, ευρυζωνική πρόσβαση και πρόσβαση στο Διαδίκτυο (Internet) ενώ </w:t>
      </w:r>
      <w:r>
        <w:rPr>
          <w:b/>
          <w:bCs/>
          <w:u w:val="single"/>
          <w:lang w:val="el" w:eastAsia="el"/>
        </w:rPr>
        <w:t xml:space="preserve">δεν καταλαμβάνει τα δίκτυα </w:t>
      </w:r>
      <w:r>
        <w:rPr>
          <w:b/>
          <w:bCs/>
          <w:u w:val="single"/>
          <w:lang w:val="el" w:eastAsia="el"/>
        </w:rPr>
        <w:t>VPN</w:t>
      </w:r>
      <w:r>
        <w:rPr>
          <w:b/>
          <w:bCs/>
          <w:lang w:val="el" w:eastAsia="el"/>
        </w:rPr>
        <w:t>(εταιρικά δίκτυα τύπου intranet).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ΜΗ ΕΠΙΒΟΛΗ ΤΟΥ ΤΕΛΟΥΣ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Διευκρινίζεται ότι </w:t>
      </w:r>
      <w:r>
        <w:rPr>
          <w:b/>
          <w:bCs/>
          <w:lang w:val="el" w:eastAsia="el"/>
        </w:rPr>
        <w:t xml:space="preserve">το τέλος συνδρομητών σταθερής τηλεφωνίας </w:t>
      </w:r>
      <w:r>
        <w:rPr>
          <w:b/>
          <w:bCs/>
          <w:u w:val="single"/>
          <w:lang w:val="el" w:eastAsia="el"/>
        </w:rPr>
        <w:t>δεν επιβάλλεται στις κάτωθι περιπτώσεις</w:t>
      </w:r>
      <w:r>
        <w:rPr>
          <w:b/>
          <w:bCs/>
          <w:lang w:val="el" w:eastAsia="el"/>
        </w:rPr>
        <w:t>παροχής υπηρεσιών ή/και πώλησης αγαθών, που ενδεχομένως περιλαμβάνονται σε λογαριασμούς που εκδίδονται από παρόχους υπηρεσιών σταθερής τηλεφωνίας: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(α) Πώληση, εγκατάσταση/απεγκατάσταση, μη επιστροφή τερματικού εξοπλισμού τελικού χρήστη.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(β) Επίσκεψη συνεργείου/τεχνικών στο χώρο του τελικού χρήστη.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(γ) Παροχή άλλων υπηρεσιών όπως διεύθυνση ηλεκτρονικού ταχυδρομείου, χώρος για τη φιλοξενία ιστοσελίδων κλπ.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(δ) Κόστος ταχυδρομικών αποστολών τερματικού εξοπλισμού ή συμβολαίων και λοιπών εγγράφων προς τον τελικού χρήστη.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(ε) Κόστος κατασκευής δικτύου για σύνδεση τελικού χρήστη στο δίκτυο σε περιπτώσεις που υπάρχει έλλειψη δικτύου.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</w:t>
      </w:r>
      <w:r>
        <w:rPr>
          <w:b/>
          <w:bCs/>
          <w:lang w:val="el" w:eastAsia="el"/>
        </w:rPr>
        <w:t>ΕΙΣΠΡΑΞΗ ΚΑΙ ΑΠΟΔΟΣΗ ΤΟΥ ΤΕΛΟΥΣ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Όλοι οι πάροχοι των υπηρεσιών σταθερής τηλεφωνίας, είτε πρόκειται για ημεδαπές ή για αλλοδαπές εταιρείες, εισπράττουν το ως άνω τέλος και το αποδίδουν στην Φορολογική Διοίκηση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Για ενέργεια</w:t>
      </w:r>
      <w:r>
        <w:rPr>
          <w:b/>
          <w:bCs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-όλες τις Δ.Ο.Υ και τα Ελεγκτικά κέντρα.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-Κεντρική Υπηρεσία Σ.Δ.Ο.Ε. και περιφερειακές δ/νσεις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Για κοινοποίηση: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-Γρ.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-Γρ.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-Εθνική Επιτροπή Τηλεπικοινωνιών και Ταχυδρομείων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Λ. Κηφισίας 60 Μαρούσι ΤΚ 15125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-ΟΤΕ ΑΕ :Λ. Κηφισίας 99, Εργατικές Κατοικίες, ΤΚ 15124 Μαρούσι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-Forthnet-Nova: Ατθίδων 4 ΤΚ 17671 Καλλιθέα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-Vodafone Hellas: Τζαβέλλα 1-3 ΤΚ 15231 Χαλάνδρι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-Hellas on Line : Αδριανείου 2 και Παπαδά ΤΚ 11525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-Cyta Hellas : Λ. Αλεξάνδρας 128, ΤΚ 11471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-Wind Hellas : Κηφισίας 66 ΤΚ 15125 Μαρούσι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-MTEL: Προφήτη Ηλία 15 ΤΚ 59132 Βεροια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-ΟΜΝΙΝΕΤ : Ακροπόλεως 115 ΤΚ 17235 Δάφνη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-CONNECTICORE SA: Λ. Κηφισίας 78 ΤΚ 15125 Μαρούσι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-Περιοδικό Φορολογική Επιθεώρηση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Εσωτ. Διανομή: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-Γρ. Διοικητή ΑΑΔΕ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Γρ. Γεν. Δ/ντή Φορολογικής Διοίκησης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Γρ. κ.κ. Γεν. Δ/ντών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Δ/νση Διαχ/σης Ανθρωπίνου Δυναμικού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Δ/νση Ηλεκτρονικής Διακυβέρνησης ΑΑΔΕ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Δ/νση Υποστήριξης Ηλεκτρονικών Υπηρεσιών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Δ/νση Παροχής Φορολογικών Υπηρεσιών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Δ/νση Επίλυσης Διαφορών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Δ/νση Νομικής Υποστήριξης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-Γραφείο Επικοινωνίας και Πληροφόρησης Πολιτών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