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6Ω4ΩΗ-ΞΥ0</w:t>
      </w:r>
    </w:p>
    <w:p>
      <w:pPr>
        <w:spacing w:before="240" w:after="240"/>
        <w:rPr>
          <w:lang w:val="el" w:eastAsia="el"/>
        </w:rPr>
      </w:pPr>
      <w:r>
        <w:rPr>
          <w:b/>
          <w:bCs/>
          <w:lang w:val="el" w:eastAsia="el"/>
        </w:rPr>
        <w:t>ΑΡΙΘ. ΦΕΚ: Β’ 1632/12-05-2017</w:t>
      </w:r>
    </w:p>
    <w:p>
      <w:pPr>
        <w:spacing w:before="240" w:after="240"/>
        <w:rPr>
          <w:lang w:val="el" w:eastAsia="el"/>
        </w:rPr>
      </w:pPr>
      <w:r>
        <w:rPr>
          <w:b/>
          <w:bCs/>
          <w:lang w:val="el" w:eastAsia="el"/>
        </w:rPr>
        <w:t>Αθήνα, 3 Μαΐου 2017</w:t>
      </w:r>
    </w:p>
    <w:p>
      <w:pPr>
        <w:spacing w:before="240" w:after="240"/>
        <w:rPr>
          <w:lang w:val="el" w:eastAsia="el"/>
        </w:rPr>
      </w:pPr>
      <w:r>
        <w:rPr>
          <w:b/>
          <w:bCs/>
          <w:lang w:val="el" w:eastAsia="el"/>
        </w:rPr>
        <w:t>ΑΡΙΘ. ΠΡΩΤ.: Δ.ΟΡΓ.Α 1066066 ΕΞ 2017</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Τροποποίηση της αριθμ. Δ.ΟΡΓ.Α 1001512 ΕΞ 2017/05-01-2017 (Β΄ 12, 52, 234 και</w:t>
      </w:r>
    </w:p>
    <w:p>
      <w:pPr>
        <w:spacing w:before="240" w:after="240"/>
        <w:rPr>
          <w:lang w:val="el" w:eastAsia="el"/>
        </w:rPr>
      </w:pPr>
      <w:r>
        <w:rPr>
          <w:b/>
          <w:bCs/>
          <w:lang w:val="el" w:eastAsia="el"/>
        </w:rPr>
        <w:t>1032) απόφασης του Διοικητή της Ανεξάρτητης Αρχής Δημοσίων Εσόδων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των υποπαραγράφων α’ και γ’ της παρ. 6, των παρ. 1 και 5 και της περίπτωσης ββ’ της υποπαραγράφου θ’ της παρ. 4 του άρθρου 14, της παρ. 1 και των υποπαραγράφων ιε’ έως ιη’ της παρ. 2 και των παρ. 3 και 4 του άρθρου 2, των παρ. 1 έως 4 και 6 έως 8 του άρθρου 19, των παρ. 1,4,5 και 7 του άρθρου 40, του άρθρου 7, της παρ. 1 του άρθρου 17, καθώς και των παρ. 2,3 και του πρώτου εδαφίου της παρ. 10 του άρθρου 41 του νόμου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ν. 4270/2014 (A΄ 143) «Αρχές δημοσιονομικής διαχείρισης και εποπτείας (ενσωμάτωση της Οδηγίας 2011/85/ΕΕ) - δημόσιο λογιστικό και άλλες διατάξεις.», όπως τροποποιήθηκε, συμπληρώθηκε και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80/2016 (Α’ 145) «Ανάληψη υποχρεώσεων από τους διατάκτες»,</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υποπερ. viii της περ. 2.3 της υποπαραγράφου 2 της παραγράφου Γ΄ του άρθρου 3 του ν. 4336/2015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αριθ. Δ.ΟΡΓ.Α 1036960 ΕΞ 2017/10-03-2017 (Β’ 968 &amp; 1238)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3. Την αριθμ. Δ.ΟΡΓ.Α 1001512 ΕΞ 2017/05-01-2017 (Β΄ 12, 52, 234 και 1032) απόφαση του Διοικητή της Ανεξάρτητης Αρχής Δημοσίων Εσόδων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w:t>
      </w:r>
    </w:p>
    <w:p>
      <w:pPr>
        <w:spacing w:before="240" w:after="240"/>
        <w:rPr>
          <w:lang w:val="el" w:eastAsia="el"/>
        </w:rPr>
      </w:pPr>
      <w:r>
        <w:rPr>
          <w:b/>
          <w:bCs/>
          <w:lang w:val="el" w:eastAsia="el"/>
        </w:rPr>
        <w:t>4. Το αριθμ. Δ.Π.Δ.Α. Α.Α.Δ.Ε. Α 1038354 ΕΞ 2017/13-03-2017 έγγραφο του Προϊσταμένου της Διεύθυνσης Προϋπολογισμού &amp; Δημοσιονομικών Αναφορών της Γενικής Διεύθυνσης Οικονομικών Υπηρεσιών της Α.Α.Δ.Ε. σε απάντηση στο αριθ. Δ.ΟΡΓ. Α 1031431 ΕΞ 2017/01-03-2017 έγγραφο της Διεύθυνσης Οργάνωσης της Γενικής Διεύθυνσης Ηλεκτρονικής Διακυβέρνησης και Ανθρώπινου Δυναμικού.</w:t>
      </w:r>
    </w:p>
    <w:p>
      <w:pPr>
        <w:spacing w:before="240" w:after="240"/>
        <w:rPr>
          <w:lang w:val="el" w:eastAsia="el"/>
        </w:rPr>
      </w:pPr>
      <w:r>
        <w:rPr>
          <w:b/>
          <w:bCs/>
          <w:lang w:val="el" w:eastAsia="el"/>
        </w:rPr>
        <w:t>5.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w:t>
      </w:r>
    </w:p>
    <w:p>
      <w:pPr>
        <w:spacing w:before="240" w:after="240"/>
        <w:rPr>
          <w:lang w:val="el" w:eastAsia="el"/>
        </w:rPr>
      </w:pPr>
      <w:r>
        <w:rPr>
          <w:b/>
          <w:bCs/>
          <w:lang w:val="el" w:eastAsia="el"/>
        </w:rPr>
        <w:t>6. Την ανάγκη ορθής εκτέλεσης του προϋπολογισμού της Ανεξάρτητης Αρχής Δημοσίων Εσόδων (Α.Α.Δ.Ε.).</w:t>
      </w:r>
    </w:p>
    <w:p>
      <w:pPr>
        <w:spacing w:before="240" w:after="240"/>
        <w:rPr>
          <w:lang w:val="el" w:eastAsia="el"/>
        </w:rPr>
      </w:pPr>
      <w:r>
        <w:rPr>
          <w:b/>
          <w:bCs/>
          <w:lang w:val="el" w:eastAsia="el"/>
        </w:rPr>
        <w:t>7. Το γεγονός ότι, από τις διατάξεις της απόφασης αυτής,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Τροποποιούμε τον Πίνακα της περίπτωσης β’ της υποπαραγράφου 4 της παραγράφου Α’ της αριθμ. Δ.ΟΡΓ.Α 1001512 ΕΞ 2017/05-01-2017 (Β΄ 12, 52, 234 και 1032) απόφασής μας,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Προσθέτουμε δεύτερη γραμμή στον ΚΩΔ. ΝΟΜ. 90-22, τον οποίο διαμορφώνουμε,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4"/>
        <w:gridCol w:w="1557"/>
        <w:gridCol w:w="1885"/>
        <w:gridCol w:w="994"/>
        <w:gridCol w:w="1888"/>
        <w:gridCol w:w="2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 ΤΗΣ ΥΠΗΡΕΣΙΑΣ, ΔΙΕΝΕΡΓΟΥΝΤΑΙ ΑΠΟ: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ΔΟΙΚΗΤΙΚΗΣ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ΥΠΟΣΤΗΡΙΞΗΣ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ΔΙΚΑΣΤΙΚΟΥ TOY ΤΕΛΩΝΕΙΟΥ</w:t>
            </w:r>
          </w:p>
          <w:p>
            <w:pPr>
              <w:spacing w:before="240"/>
              <w:rPr>
                <w:b w:val="0"/>
                <w:bCs w:val="0"/>
                <w:i w:val="0"/>
                <w:iCs w:val="0"/>
                <w:smallCaps w:val="0"/>
                <w:color w:val="000000"/>
                <w:lang w:val="el" w:eastAsia="el"/>
              </w:rPr>
            </w:pPr>
            <w:r>
              <w:rPr>
                <w:b w:val="0"/>
                <w:bCs w:val="0"/>
                <w:i w:val="0"/>
                <w:iCs w:val="0"/>
                <w:smallCaps w:val="0"/>
                <w:color w:val="000000"/>
                <w:lang w:val="el" w:eastAsia="el"/>
              </w:rPr>
              <w:t>ΗΓΟΥΜΕΝΙΤΣΑΣ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ΜΑΥΡΟΜΑΤΙΟΥ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ΜΑΥΡΟΜΑΤΙΟΥ»</w:t>
            </w:r>
          </w:p>
        </w:tc>
      </w:tr>
    </w:tbl>
    <w:p>
      <w:pPr>
        <w:pStyle w:val="StructureList1"/>
        <w:spacing w:before="120" w:after="0"/>
        <w:rPr>
          <w:lang w:val="el" w:eastAsia="el"/>
        </w:rPr>
      </w:pPr>
      <w:r>
        <w:rPr>
          <w:b/>
          <w:bCs/>
          <w:lang w:val="el" w:eastAsia="el"/>
        </w:rPr>
        <w:t>β)</w:t>
      </w:r>
      <w:r>
        <w:rPr>
          <w:b/>
          <w:bCs/>
          <w:lang w:val="en" w:eastAsia="en"/>
        </w:rPr>
        <w:tab/>
      </w:r>
      <w:r>
        <w:rPr>
          <w:b/>
          <w:bCs/>
          <w:lang w:val="el" w:eastAsia="el"/>
        </w:rPr>
        <w:t>Διαγράφουμε την τρίτη γραμμή του ΚΩΔ. ΝΟΜ. 90-24, η οποία αφορά στο Τελωνείο Μαυροματίου, την οποία διαμορφώνουμε,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3"/>
        <w:gridCol w:w="1545"/>
        <w:gridCol w:w="1603"/>
        <w:gridCol w:w="1043"/>
        <w:gridCol w:w="1982"/>
        <w:gridCol w:w="2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 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 ΤΗΣ ΥΠΗΡΕΣΙΑΣ, ΔΙΕΝΕΡΓΟΥΝΤΑΙ ΑΠΟ: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ΥΠΟΣΤΗΡΙΞΗΣ ΚΑΙ ΔΙΚΑΣΤΙΚΟΥ</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ΙΩΑΝΝΙΝΩΝ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ΚΑΚΑΒΙΑΣ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ΥΠΟΣΤΗΡΙΞΗΣ ΚΑΙ ΔΙΚΑΣΤΙΚΟΥ</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ΚΑΚΑΒΙΑΣ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ΜΕΡΤΖΑΝΗΣ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ΜΕΡΤΖΑΝΗΣ»</w:t>
            </w:r>
          </w:p>
        </w:tc>
      </w:tr>
    </w:tbl>
    <w:p>
      <w:pPr>
        <w:spacing w:before="240" w:after="240"/>
        <w:rPr>
          <w:lang w:val="el" w:eastAsia="el"/>
        </w:rPr>
      </w:pPr>
      <w:r>
        <w:rPr>
          <w:b/>
          <w:bCs/>
          <w:lang w:val="el" w:eastAsia="el"/>
        </w:rPr>
        <w:t xml:space="preserve">2 </w:t>
      </w:r>
      <w:r>
        <w:rPr>
          <w:b/>
          <w:bCs/>
          <w:lang w:val="el" w:eastAsia="el"/>
        </w:rPr>
        <w:t xml:space="preserve">.- </w:t>
      </w:r>
      <w:r>
        <w:rPr>
          <w:b/>
          <w:bCs/>
          <w:lang w:val="el" w:eastAsia="el"/>
        </w:rPr>
        <w:t>Κατά τα λοιπά ισχύει η αριθ. Δ.ΟΡΓ.Α 1001512 ΕΞ 2017/05-01-2017 (Β΄ 12, 52, 234 και 1032) απόφασή μας.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1. Εθνικό Τυπογραφείο για δημοσίευση της απόφασης</w:t>
      </w:r>
    </w:p>
    <w:p>
      <w:pPr>
        <w:spacing w:before="240" w:after="240"/>
        <w:rPr>
          <w:lang w:val="el" w:eastAsia="el"/>
        </w:rPr>
      </w:pPr>
      <w:r>
        <w:rPr>
          <w:b/>
          <w:bCs/>
          <w:lang w:val="el" w:eastAsia="el"/>
        </w:rPr>
        <w:t xml:space="preserve">(στην ηλεκτρονική διεύθυνση </w:t>
      </w:r>
      <w:hyperlink r:id="rId4" w:history="1">
        <w:r>
          <w:rPr>
            <w:rStyle w:val="Hyperlink"/>
            <w:b/>
            <w:bCs/>
            <w:color w:val="0000EE"/>
            <w:u w:color="0000EE"/>
            <w:lang w:val="el" w:eastAsia="el"/>
          </w:rPr>
          <w:t>webmaster.et@et.gr</w:t>
        </w:r>
      </w:hyperlink>
      <w:r>
        <w:rPr>
          <w:b/>
          <w:bCs/>
          <w:lang w:val="el" w:eastAsia="el"/>
        </w:rPr>
        <w:t>)</w:t>
      </w:r>
    </w:p>
    <w:p>
      <w:pPr>
        <w:spacing w:before="240" w:after="240"/>
        <w:rPr>
          <w:lang w:val="el" w:eastAsia="el"/>
        </w:rPr>
      </w:pPr>
      <w:r>
        <w:rPr>
          <w:b/>
          <w:bCs/>
          <w:lang w:val="el" w:eastAsia="el"/>
        </w:rPr>
        <w:t>2. Προϊστάμενο της Γενικής Διεύθυνσης Οικονομικών Υπηρεσιών της Α.Α.Δ.Ε.</w:t>
      </w:r>
    </w:p>
    <w:p>
      <w:pPr>
        <w:spacing w:before="240" w:after="240"/>
        <w:rPr>
          <w:lang w:val="el" w:eastAsia="el"/>
        </w:rPr>
      </w:pPr>
      <w:r>
        <w:rPr>
          <w:b/>
          <w:bCs/>
          <w:lang w:val="el" w:eastAsia="el"/>
        </w:rPr>
        <w:t>Διεύθυνση Προϋπολογισμού και Δημοσιονομικών Αναφορών α) Προϊστάμενο β) Τμήμα Α’- Τακτικού Προϋπολογισμού και Μεσοπρόθεσμου Πλαισίου Δημοσιονομικής Στρατηγικής (Μ.Π.Δ.Σ.)</w:t>
      </w:r>
    </w:p>
    <w:p>
      <w:pPr>
        <w:spacing w:before="240" w:after="240"/>
        <w:rPr>
          <w:lang w:val="el" w:eastAsia="el"/>
        </w:rPr>
      </w:pPr>
      <w:r>
        <w:rPr>
          <w:b/>
          <w:bCs/>
          <w:lang w:val="el" w:eastAsia="el"/>
        </w:rPr>
        <w:t>4. Τελωνεία: α) Μαυροματίου, β) Ηγουμενίτσας και γ) Ιωαννίνων</w:t>
      </w:r>
    </w:p>
    <w:p>
      <w:pPr>
        <w:spacing w:before="240" w:after="240"/>
        <w:rPr>
          <w:lang w:val="el" w:eastAsia="el"/>
        </w:rPr>
      </w:pPr>
      <w:r>
        <w:rPr>
          <w:b/>
          <w:bCs/>
          <w:lang w:val="el" w:eastAsia="el"/>
        </w:rPr>
        <w:t>5. Προϊσταμένη της Τελωνειακής Περιφέρειας Αχαΐας</w:t>
      </w:r>
    </w:p>
    <w:p>
      <w:pPr>
        <w:spacing w:before="240" w:after="240"/>
        <w:rPr>
          <w:lang w:val="el" w:eastAsia="el"/>
        </w:rPr>
      </w:pPr>
      <w:r>
        <w:rPr>
          <w:b/>
          <w:bCs/>
          <w:lang w:val="el" w:eastAsia="el"/>
        </w:rPr>
        <w:t>ΑΠΟΔΕΚΤΕΣ ΓΙΑ ΕΝΗΜΕΡΩΣΗ</w:t>
      </w:r>
    </w:p>
    <w:p>
      <w:pPr>
        <w:spacing w:before="240" w:after="240"/>
        <w:rPr>
          <w:lang w:val="el" w:eastAsia="el"/>
        </w:rPr>
      </w:pPr>
      <w:r>
        <w:rPr>
          <w:b/>
          <w:bCs/>
          <w:lang w:val="el" w:eastAsia="el"/>
        </w:rPr>
        <w:t>Ι. Α.Α.Δ.Ε.</w:t>
      </w:r>
    </w:p>
    <w:p>
      <w:pPr>
        <w:spacing w:before="240" w:after="240"/>
        <w:rPr>
          <w:lang w:val="el" w:eastAsia="el"/>
        </w:rPr>
      </w:pPr>
      <w:r>
        <w:rPr>
          <w:b/>
          <w:bCs/>
          <w:lang w:val="el" w:eastAsia="el"/>
        </w:rPr>
        <w:t>1. Προϊσταμένους των Γενικών Διευθύνσεων (πλην του αναφερομένου για ενέργεια)</w:t>
      </w:r>
    </w:p>
    <w:p>
      <w:pPr>
        <w:spacing w:before="240" w:after="240"/>
        <w:rPr>
          <w:lang w:val="el" w:eastAsia="el"/>
        </w:rPr>
      </w:pPr>
      <w:r>
        <w:rPr>
          <w:b/>
          <w:bCs/>
          <w:lang w:val="el" w:eastAsia="el"/>
        </w:rPr>
        <w:t>2. Αποδέκτες των Πινάκων Α (πλην των αναφερομένων για ενέργεια), Β, Γ, Δ (πλην των αναφερομένων για ενέργεια), Ε και ΣΤ</w:t>
      </w:r>
    </w:p>
    <w:p>
      <w:pPr>
        <w:spacing w:before="240" w:after="240"/>
        <w:rPr>
          <w:lang w:val="el" w:eastAsia="el"/>
        </w:rPr>
      </w:pPr>
      <w:r>
        <w:rPr>
          <w:b/>
          <w:bCs/>
          <w:lang w:val="el" w:eastAsia="el"/>
        </w:rPr>
        <w:t>ΙΙ. ΥΠΟΥΡΓΕΙΟ ΟΙΚΟΝΟΜΙΚΩΝ</w:t>
      </w:r>
    </w:p>
    <w:p>
      <w:pPr>
        <w:spacing w:before="240" w:after="240"/>
        <w:rPr>
          <w:lang w:val="el" w:eastAsia="el"/>
        </w:rPr>
      </w:pPr>
      <w:r>
        <w:rPr>
          <w:b/>
          <w:bCs/>
          <w:lang w:val="el" w:eastAsia="el"/>
        </w:rPr>
        <w:t>Διεύθυνση Συντονισμού και Ελέγχου Εφαρμογής Δημοσιολογιστικών Διατάξεων της Γενικής Διεύθυνσης Θησαυροφυλακίου και Δημοσίου Λογιστικού της Γενικής Γραμματείας Δημοσιονομικής Πολιτικής του Υπουργείου Οικονομικών</w:t>
      </w:r>
    </w:p>
    <w:p>
      <w:pPr>
        <w:spacing w:before="240" w:after="240"/>
        <w:rPr>
          <w:lang w:val="el" w:eastAsia="el"/>
        </w:rPr>
      </w:pPr>
      <w:r>
        <w:rPr>
          <w:b/>
          <w:bCs/>
          <w:lang w:val="el" w:eastAsia="el"/>
        </w:rPr>
        <w:t>ΙΙΙ. ΚΟΙΝΟΠΟΙΗΣΗ</w:t>
      </w:r>
    </w:p>
    <w:p>
      <w:pPr>
        <w:spacing w:before="240" w:after="240"/>
        <w:rPr>
          <w:lang w:val="el" w:eastAsia="el"/>
        </w:rPr>
      </w:pPr>
      <w:r>
        <w:rPr>
          <w:b/>
          <w:bCs/>
          <w:lang w:val="el" w:eastAsia="el"/>
        </w:rPr>
        <w:t xml:space="preserve">Περιοδικό "Φορολογική Επιθεώρηση" (με την παράκληση να αναρτηθεί στην ιστοσελίδα </w:t>
      </w:r>
      <w:hyperlink r:id="rId5"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Διοικητή της Ανεξάρτητης Αρχής Δημόσιων Εσόδων</w:t>
      </w:r>
    </w:p>
    <w:p>
      <w:pPr>
        <w:spacing w:before="240" w:after="240"/>
        <w:rPr>
          <w:lang w:val="el" w:eastAsia="el"/>
        </w:rPr>
      </w:pPr>
      <w:r>
        <w:rPr>
          <w:b/>
          <w:bCs/>
          <w:lang w:val="el" w:eastAsia="el"/>
        </w:rPr>
        <w:t>2.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Διεύθυνση Οργάνωσης-Προϊσταμένη και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