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8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2103375878, 879, 880, 890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2103375834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defk.a@mofadm.gr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ΘΕΜΑ: </w:t>
      </w:r>
      <w:r>
        <w:rPr>
          <w:lang w:val="el" w:eastAsia="el"/>
        </w:rPr>
        <w:t>Τροποποίηση της ΠΟΛ 1212/2015 απόφασης ΓΓΔΕ.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4 του άρθρου 7 και της παραγράφου 5 του άρθρου 3.</w:t>
      </w:r>
    </w:p>
    <w:p>
      <w:pPr>
        <w:spacing w:before="240" w:after="240"/>
        <w:rPr>
          <w:lang w:val="el" w:eastAsia="el"/>
        </w:rPr>
      </w:pPr>
      <w:r>
        <w:rPr>
          <w:lang w:val="el" w:eastAsia="el"/>
        </w:rPr>
        <w:t>2. Τις διατάξεις του ν. 4174/2013 (ΦΕΚ 170 Α΄) και ειδικότερα των άρθρων 4, 5, 19, 23, 32, 34, 37 και 63.</w:t>
      </w:r>
    </w:p>
    <w:p>
      <w:pPr>
        <w:spacing w:before="240" w:after="240"/>
        <w:rPr>
          <w:lang w:val="el" w:eastAsia="el"/>
        </w:rPr>
      </w:pPr>
      <w:r>
        <w:rPr>
          <w:lang w:val="el" w:eastAsia="el"/>
        </w:rPr>
        <w:t>3. Τις διατάξεις του ν. 4172/2013 (ΦΕΚ 167 Α΄).</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6. Την αριθ.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7. Την αριθ. Δ6Α 1036682ΕΞ2014/25-02-2014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8. Τις ΠΟΛ 1212/2015 και 1081/2016 (Β’ 2120 και 2163 αντίστοιχα) αποφάσεις Γ.Γ.Δ.Ε. σχετικά με τη διαδικασία χορήγησης εκπτώσεων, μειώσεων και αναστολή πληρωμής του ΕΝ.Φ.Ι.Α..</w:t>
      </w:r>
    </w:p>
    <w:p>
      <w:pPr>
        <w:spacing w:before="240" w:after="240"/>
        <w:rPr>
          <w:lang w:val="el" w:eastAsia="el"/>
        </w:rPr>
      </w:pPr>
      <w:r>
        <w:rPr>
          <w:lang w:val="el" w:eastAsia="el"/>
        </w:rPr>
        <w:t>9.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Το τελευταίο εδάφιο της περίπτωσης 3 της ενότητας Α του άρθρου 2 της 1212/2015 (ΦΕΚ 120 Β΄) απόφασης του Γενικού Γραμματέα Δημοσίων Εσόδων, όπως ισχύει, αντικαθίσταται ως εξής: «Για την πιστοποίηση της αναπηρίας εφαρμόζονται τα ισχύοντα στη φορολογία εισοδήματος του οικείου φορολογικού έτους.»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 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w:t>
      </w:r>
    </w:p>
    <w:p>
      <w:pPr>
        <w:spacing w:before="240" w:after="240"/>
        <w:rPr>
          <w:lang w:val="el" w:eastAsia="el"/>
        </w:rPr>
      </w:pPr>
      <w:r>
        <w:rPr>
          <w:b/>
          <w:bCs/>
          <w:u w:val="single"/>
          <w:lang w:val="el" w:eastAsia="el"/>
        </w:rPr>
        <w:t>ΕΦΗΜΕΡΙΔΑ ΤΗΣ ΚΥΒΕΡΝΗΣΕΩΣ)</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1. Αποδέκτες Πίνακα Ζ (περιπτώσεις 1 και 6)</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w:t>
      </w:r>
    </w:p>
    <w:p>
      <w:pPr>
        <w:spacing w:before="240" w:after="240"/>
        <w:rPr>
          <w:lang w:val="el" w:eastAsia="el"/>
        </w:rPr>
      </w:pPr>
      <w:r>
        <w:rPr>
          <w:lang w:val="el" w:eastAsia="el"/>
        </w:rPr>
        <w:t>5. Αποδέκτες Πίνακα ΚΑ΄(περιπτώσεις 1 και 2)</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Δ/νση Εφαρμογής Φορολογίας Κεφαλαίου &amp; Περιουσιολογίου – Τμήμα Α΄ (10) και Β΄(2)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