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ΓΔΤΕΦΚ 111758</w:t>
      </w:r>
      <w:r>
        <w:rPr>
          <w:lang w:val="el" w:eastAsia="el"/>
        </w:rPr>
        <w:t xml:space="preserve">3 ΕΞ 2017 </w:t>
      </w:r>
    </w:p>
    <w:p>
      <w:pPr>
        <w:pStyle w:val="PreambelText"/>
        <w:spacing w:before="240" w:after="240"/>
        <w:rPr>
          <w:lang w:val="el" w:eastAsia="el"/>
        </w:rPr>
      </w:pPr>
      <w:r>
        <w:rPr>
          <w:b/>
          <w:bCs/>
          <w:lang w:val="el" w:eastAsia="el"/>
        </w:rPr>
        <w:t>Τροποποίηση της αριθμ. ΑΝ.ΥΠ.ΟΙΚ. 0001160 ΕΞ 2016 κοινής υπουργικής απόφασης (ΦΕΚ Β’ 1262) με θέμα «Καθορισμός προδιαγραφών και απαιτήσεων για την έγκριση πλωτών μέσων μεταφοράς καυσίμων ναυτιλίας ως πλωτών εφοδιαστικών μέσων».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ΚΑΙ ΑΝΑΠΤΥΞΗΣ -</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ΥΠΟΔΟΜΩΝ ΚΑΙ ΜΕΤΑΦΟΡΩΝ -</w:t>
      </w:r>
    </w:p>
    <w:p>
      <w:pPr>
        <w:pStyle w:val="PreambelText"/>
        <w:spacing w:before="240" w:after="240"/>
        <w:rPr>
          <w:lang w:val="el" w:eastAsia="el"/>
        </w:rPr>
      </w:pPr>
      <w:r>
        <w:rPr>
          <w:b/>
          <w:bCs/>
          <w:lang w:val="el" w:eastAsia="el"/>
        </w:rPr>
        <w:t>ΝΑΥΤΙΛΙΑΣ ΚΑΙ ΝΗΣΙΩΤΙΚΗΣ ΠΟΛΙΤΙΚΗΣ</w:t>
      </w:r>
    </w:p>
    <w:p>
      <w:pPr>
        <w:pStyle w:val="PreambelText"/>
        <w:spacing w:before="240" w:after="240"/>
        <w:rPr>
          <w:lang w:val="el" w:eastAsia="el"/>
        </w:rPr>
      </w:pPr>
      <w:r>
        <w:rPr>
          <w:lang w:val="el" w:eastAsia="el"/>
        </w:rPr>
        <w:t>ΚΑΙ 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της παρ. 10 του άρθρου 31 του ν. 3784/2009 (ΦΕΚ Α’ 137) όπως έχει τροποποιηθεί και ισχύει,</w:t>
      </w:r>
    </w:p>
    <w:p>
      <w:pPr>
        <w:pStyle w:val="PreambelText"/>
        <w:spacing w:before="240" w:after="240"/>
        <w:rPr>
          <w:lang w:val="el" w:eastAsia="el"/>
        </w:rPr>
      </w:pPr>
      <w:r>
        <w:rPr>
          <w:lang w:val="el" w:eastAsia="el"/>
        </w:rPr>
        <w:t>2. της παρ. 8α του άρθρου 15 του ν. 3054/2002 (ΦΕΚ Α’ 230) όπως έχει τροποποιηθεί και ισχύει,</w:t>
      </w:r>
    </w:p>
    <w:p>
      <w:pPr>
        <w:pStyle w:val="PreambelText"/>
        <w:spacing w:before="240" w:after="240"/>
        <w:rPr>
          <w:lang w:val="el" w:eastAsia="el"/>
        </w:rPr>
      </w:pPr>
      <w:r>
        <w:rPr>
          <w:lang w:val="el" w:eastAsia="el"/>
        </w:rPr>
        <w:t>3. του άρθρου 40 του ν. 2960/2001(ΦΕΚ Α’ 265) «Εθνικός Τελωνειακός Κώδικας», όπως ισχύει,</w:t>
      </w:r>
    </w:p>
    <w:p>
      <w:pPr>
        <w:pStyle w:val="PreambelText"/>
        <w:spacing w:before="240" w:after="240"/>
        <w:rPr>
          <w:lang w:val="el" w:eastAsia="el"/>
        </w:rPr>
      </w:pPr>
      <w:r>
        <w:rPr>
          <w:lang w:val="el" w:eastAsia="el"/>
        </w:rPr>
        <w:t>4. του άρθρου 90 παρ. 2 του Κώδικα Νομοθεσίας για την Κυβέρνηση και τα Κυβερνητικά Όργανα που κυρώθηκε με το άρθρο πρώτο του π.δ. 63/2005 (ΦΕΚ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5. του π.δ. 185/2009 (ΦΕΚ Α’ 213) «Περί ανασύστασης του Υπουργείου Οικονομικών»,</w:t>
      </w:r>
    </w:p>
    <w:p>
      <w:pPr>
        <w:pStyle w:val="PreambelText"/>
        <w:spacing w:before="240" w:after="240"/>
        <w:rPr>
          <w:lang w:val="el" w:eastAsia="el"/>
        </w:rPr>
      </w:pPr>
      <w:r>
        <w:rPr>
          <w:lang w:val="el" w:eastAsia="el"/>
        </w:rPr>
        <w:t>6. του π.δ. 189/2009 (ΦΕΚ Α’ 221) « Καθορισμός και ανακατανομή αρμοδιοτήτων των Υπουργείων»,</w:t>
      </w:r>
    </w:p>
    <w:p>
      <w:pPr>
        <w:pStyle w:val="PreambelText"/>
        <w:spacing w:before="240" w:after="240"/>
        <w:rPr>
          <w:lang w:val="el" w:eastAsia="el"/>
        </w:rPr>
      </w:pPr>
      <w:r>
        <w:rPr>
          <w:lang w:val="el" w:eastAsia="el"/>
        </w:rPr>
        <w:t>7. του π.δ. 111/2014 (ΦΕΚ Α’ 178) «Οργανισμός του Υπουργείου Οικονομικών», όπως ισχύει,</w:t>
      </w:r>
    </w:p>
    <w:p>
      <w:pPr>
        <w:pStyle w:val="PreambelText"/>
        <w:spacing w:before="240" w:after="240"/>
        <w:rPr>
          <w:lang w:val="el" w:eastAsia="el"/>
        </w:rPr>
      </w:pPr>
      <w:r>
        <w:rPr>
          <w:lang w:val="el" w:eastAsia="el"/>
        </w:rPr>
        <w:t>8. του π.δ. 103/2014 (ΦΕΚ Α’ 170) «Οργανισμός του Υπουργείου Ναυτιλίας και Αιγαίου»,</w:t>
      </w:r>
    </w:p>
    <w:p>
      <w:pPr>
        <w:pStyle w:val="PreambelText"/>
        <w:spacing w:before="240" w:after="240"/>
        <w:rPr>
          <w:lang w:val="el" w:eastAsia="el"/>
        </w:rPr>
      </w:pPr>
      <w:r>
        <w:rPr>
          <w:lang w:val="el" w:eastAsia="el"/>
        </w:rPr>
        <w:t>9. του π.δ. 109/2014 (ΦΕΚ Α’ 176) «Οργανισμός του Υπουργείου Υποδομών, Μεταφορών και Δικτύων», όπως ισχύει,</w:t>
      </w:r>
    </w:p>
    <w:p>
      <w:pPr>
        <w:pStyle w:val="PreambelText"/>
        <w:spacing w:before="240" w:after="240"/>
        <w:rPr>
          <w:lang w:val="el" w:eastAsia="el"/>
        </w:rPr>
      </w:pPr>
      <w:r>
        <w:rPr>
          <w:lang w:val="el" w:eastAsia="el"/>
        </w:rPr>
        <w:t>10. του π.δ. 116/2014 (ΦΕΚ Α’ 185) «Οργανισμός του Υπουργείου Ανάπτυξης και Ανταγωνιστικότητας»,</w:t>
      </w:r>
    </w:p>
    <w:p>
      <w:pPr>
        <w:pStyle w:val="PreambelText"/>
        <w:spacing w:before="240" w:after="240"/>
        <w:rPr>
          <w:lang w:val="el" w:eastAsia="el"/>
        </w:rPr>
      </w:pPr>
      <w:r>
        <w:rPr>
          <w:lang w:val="el" w:eastAsia="el"/>
        </w:rPr>
        <w:t>11. του π.δ. 69/2015 (ΦΕΚ Α’ 104) «Διορισμός του Αλέξιου Π. Τσίπρα, ως Πρωθυπουργού»,</w:t>
      </w:r>
    </w:p>
    <w:p>
      <w:pPr>
        <w:pStyle w:val="PreambelText"/>
        <w:spacing w:before="240" w:after="240"/>
        <w:rPr>
          <w:lang w:val="el" w:eastAsia="el"/>
        </w:rPr>
      </w:pPr>
      <w:r>
        <w:rPr>
          <w:lang w:val="el" w:eastAsia="el"/>
        </w:rPr>
        <w:t>του π.δ. 70/2015 (ΦΕΚ Α’ 114) «Ανασύσταση Υπουργείων μεταφορά Γενικής Γραμματείας Βιομηχανίας στο Υπουργείο Οικονομίας, Ανάπτυξης και Τουρισμού»,</w:t>
      </w:r>
    </w:p>
    <w:p>
      <w:pPr>
        <w:pStyle w:val="PreambelText"/>
        <w:spacing w:before="240" w:after="240"/>
        <w:rPr>
          <w:lang w:val="el" w:eastAsia="el"/>
        </w:rPr>
      </w:pPr>
      <w:r>
        <w:rPr>
          <w:lang w:val="el" w:eastAsia="el"/>
        </w:rPr>
        <w:t>13. του π.δ. 125/2016 (ΦΕΚ Α’ 210), «Διορισμός Υπουργών, Αναπληρωτών Υπουργών και Υφυπουργών»,</w:t>
      </w:r>
    </w:p>
    <w:p>
      <w:pPr>
        <w:pStyle w:val="PreambelText"/>
        <w:spacing w:before="240" w:after="240"/>
        <w:rPr>
          <w:lang w:val="el" w:eastAsia="el"/>
        </w:rPr>
      </w:pPr>
      <w:r>
        <w:rPr>
          <w:lang w:val="el" w:eastAsia="el"/>
        </w:rPr>
        <w:t>14. του π.δ. 123/2016 (ΦΕΚ Α’ 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15. της υπ’ αριθμ. ΥΠΟΙΚ 0010218 ΕΞ 2016 απόφασης του Πρωθυπουργού και του Υπουργού Οικονομικών, «Ανάθεση αρμοδιοτήτων στην Υφυπουργό Οικονομικών Αικατερίνη Παπανάτσιου» (ΦΕΚ Β’ 3696),</w:t>
      </w:r>
    </w:p>
    <w:p>
      <w:pPr>
        <w:pStyle w:val="PreambelText"/>
        <w:spacing w:before="240" w:after="240"/>
        <w:rPr>
          <w:lang w:val="el" w:eastAsia="el"/>
        </w:rPr>
      </w:pPr>
      <w:r>
        <w:rPr>
          <w:lang w:val="el" w:eastAsia="el"/>
        </w:rPr>
        <w:t>16. της υπ’ αριθμ. Υ197/16.11.2016 απόφασης του Πρωθυπουργού: «Ανάθεση αρμοδιοτήτων στον Αναπληρωτή Υπουργό Οικονομίας και Ανάπτυξης Αλέξανδρο Χαρίτση» (ΦΕΚ Β’ 3722), όπως ισχύει,</w:t>
      </w:r>
    </w:p>
    <w:p>
      <w:pPr>
        <w:pStyle w:val="PreambelText"/>
        <w:spacing w:before="240" w:after="240"/>
        <w:rPr>
          <w:lang w:val="el" w:eastAsia="el"/>
        </w:rPr>
      </w:pPr>
      <w:r>
        <w:rPr>
          <w:lang w:val="el" w:eastAsia="el"/>
        </w:rPr>
        <w:t>17. της υπ’ αριθμ. 4402/88/2017 κοινή απόφαση του Πρωθυπουργού και του Υπουργού Υποδομών και Μεταφορών «Καθορισμός αρμοδιοτήτων Υφυπουργού Υποδομών και Μεταφορών Νικόλαου Μαυραγάνη» (ΦΕΚ Β’ 127),</w:t>
      </w:r>
    </w:p>
    <w:p>
      <w:pPr>
        <w:pStyle w:val="PreambelText"/>
        <w:spacing w:before="240" w:after="240"/>
        <w:rPr>
          <w:lang w:val="el" w:eastAsia="el"/>
        </w:rPr>
      </w:pPr>
      <w:r>
        <w:rPr>
          <w:lang w:val="el" w:eastAsia="el"/>
        </w:rPr>
        <w:t>18.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(ΦΕΚ Β’ 94) και ιδίως το άρθρο 41,</w:t>
      </w:r>
    </w:p>
    <w:p>
      <w:pPr>
        <w:pStyle w:val="PreambelText"/>
        <w:spacing w:before="240" w:after="240"/>
        <w:rPr>
          <w:lang w:val="el" w:eastAsia="el"/>
        </w:rPr>
      </w:pPr>
      <w:r>
        <w:rPr>
          <w:lang w:val="el" w:eastAsia="el"/>
        </w:rPr>
        <w:t>19. την αριθμ. 1/20.1.2016 πράξη του Υπουργικού Συμβουλίου «Επιλογή και διορισμός Γενικού Γραμματέα της Γενικής Γραμματείας Δημοσιών εσόδων του Υπουργείου Οικονομικών» (ΦΕΚ 18/Υ.Ο.Δ.Δ/20.1.2016) σε συνδυασμό με τις διατάξεις της παραγράφου 10 του άρθρου 41 του ν. 4389/2016 όπως ισχύουν.</w:t>
      </w:r>
    </w:p>
    <w:p>
      <w:pPr>
        <w:pStyle w:val="PreambelText"/>
        <w:spacing w:before="240" w:after="240"/>
        <w:rPr>
          <w:lang w:val="el" w:eastAsia="el"/>
        </w:rPr>
      </w:pPr>
      <w:r>
        <w:rPr>
          <w:lang w:val="el" w:eastAsia="el"/>
        </w:rPr>
        <w:t>Β. 1. Την ανάγκη τροποποίησης της αριθμ. ΥΠ.ΟΙΚ. 0001160 ΕΞ 2016 κοινής υπουργικής απόφασης (ΦΕΚ Β’ 1262) όσον αφορά το πεδίο εφαρμογής αυτής.</w:t>
      </w:r>
    </w:p>
    <w:p>
      <w:pPr>
        <w:pStyle w:val="PreambelText"/>
        <w:spacing w:before="240" w:after="240"/>
        <w:rPr>
          <w:lang w:val="el" w:eastAsia="el"/>
        </w:rPr>
      </w:pPr>
      <w:r>
        <w:rPr>
          <w:lang w:val="el" w:eastAsia="el"/>
        </w:rPr>
        <w:t>2. Το γεγονός ότι με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Τροποποιούμε την αριθμ. AN.YΠ.OIK.0001160 ΕΞ 2016 κοινή υπουργική απόφαση (ΦΕΚ Β’ 1262) ως εξής:</w:t>
      </w:r>
    </w:p>
    <w:p>
      <w:pPr>
        <w:pStyle w:val="MainText"/>
        <w:spacing w:before="120" w:after="0"/>
        <w:rPr>
          <w:lang w:val="el" w:eastAsia="el"/>
        </w:rPr>
      </w:pPr>
      <w:r>
        <w:rPr>
          <w:b/>
          <w:bCs/>
          <w:lang w:val="el" w:eastAsia="el"/>
        </w:rPr>
        <w:t>1.</w:t>
      </w:r>
      <w:r>
        <w:rPr>
          <w:lang w:val="el" w:eastAsia="el"/>
        </w:rPr>
        <w:t xml:space="preserve"> Στον τίτλο του θέματος, η φράση «πλωτών εφοδιαστικών μέσων» αντικαθίσταται από τη φράση «πλωτών εφοδιαστικών - μεταφορικών μέσων».</w:t>
      </w:r>
    </w:p>
    <w:p>
      <w:pPr>
        <w:pStyle w:val="MainText"/>
        <w:spacing w:before="120" w:after="0"/>
        <w:rPr>
          <w:lang w:val="el" w:eastAsia="el"/>
        </w:rPr>
      </w:pPr>
      <w:r>
        <w:rPr>
          <w:b/>
          <w:bCs/>
          <w:lang w:val="el" w:eastAsia="el"/>
        </w:rPr>
        <w:t>2.</w:t>
      </w:r>
      <w:r>
        <w:rPr>
          <w:lang w:val="el" w:eastAsia="el"/>
        </w:rPr>
        <w:t xml:space="preserve"> Στο σημείο Β.1) και Β.2) του προοιμίου η φράση «πλωτά εφοδιαστικά μέσα» αντικαθίσταται από την φράση «πλωτά εφοδιαστικά - μεταφορικά μέσα».</w:t>
      </w:r>
    </w:p>
    <w:p>
      <w:pPr>
        <w:pStyle w:val="MainText"/>
        <w:spacing w:before="120" w:after="0"/>
        <w:rPr>
          <w:lang w:val="el" w:eastAsia="el"/>
        </w:rPr>
      </w:pPr>
      <w:r>
        <w:rPr>
          <w:b/>
          <w:bCs/>
          <w:lang w:val="el" w:eastAsia="el"/>
        </w:rPr>
        <w:t>3.</w:t>
      </w:r>
      <w:r>
        <w:rPr>
          <w:lang w:val="el" w:eastAsia="el"/>
        </w:rPr>
        <w:t xml:space="preserve"> Στο πρώτο εδάφιο του άρθρου 1 η φράση «πλωτών εφοδιαστικών μέσων» αντικαθίσταται από την φράση «πλωτών εφοδιαστικών - μεταφορικών μέσων».</w:t>
      </w:r>
    </w:p>
    <w:p>
      <w:pPr>
        <w:pStyle w:val="MainText"/>
        <w:spacing w:before="120" w:after="0"/>
        <w:rPr>
          <w:lang w:val="el" w:eastAsia="el"/>
        </w:rPr>
      </w:pPr>
      <w:r>
        <w:rPr>
          <w:b/>
          <w:bCs/>
          <w:lang w:val="el" w:eastAsia="el"/>
        </w:rPr>
        <w:t>4.</w:t>
      </w:r>
      <w:r>
        <w:rPr>
          <w:lang w:val="el" w:eastAsia="el"/>
        </w:rPr>
        <w:t xml:space="preserve"> Το δεύτερο εδάφιο του άρθρου 1 όπου δίδεται ο ορισμός «Πλωτά εφοδιαστικά μέσα» αντικαθίσταται από το παρακάτω εδάφιο: «1. «Πλωτά εφοδιαστικά - μεταφορικά μέσα»: όλα τα δεξαμενόπλοια αυτοκινούμενα ή μη, καθώς και οι φορτηγίδες - λάντζες που υπάγονται στον ΓΚΛ 17 (ΦΕΚ Β’ 1136) που διαθέτουν μόνιμες ή φορητές δεξαμενές και εξοπλισμό μεταφοράς πετρελαιοειδών προϊόντων, ανεξαρτήτως χωρητικότητας, που μεταφέρουν ναυτιλιακό καύσιμο προκειμένου να το παραδώσουν ως εφόδιο σε δικαιούχα απαλλαγής πλοία και μεταφέρουν ναυτιλιακό καύσιμο από και προς φορολογική αποθήκη ή αποθήκη τελωνειακής αποταμίευσης εντός της ελληνικής επικράτειας και τα οποία θα πρέπει:».</w:t>
      </w:r>
    </w:p>
    <w:p>
      <w:pPr>
        <w:pStyle w:val="MainText"/>
        <w:spacing w:before="120" w:after="0"/>
        <w:rPr>
          <w:lang w:val="el" w:eastAsia="el"/>
        </w:rPr>
      </w:pPr>
      <w:r>
        <w:rPr>
          <w:b/>
          <w:bCs/>
          <w:lang w:val="el" w:eastAsia="el"/>
        </w:rPr>
        <w:t>5.</w:t>
      </w:r>
      <w:r>
        <w:rPr>
          <w:lang w:val="el" w:eastAsia="el"/>
        </w:rPr>
        <w:t xml:space="preserve"> Στις παραγράφους 1 και 2 του άρθρου 2 η φράση «πλωτά εφοδιαστικά μέσα» αντικαθίσταται από την φράση «πλωτά εφοδιαστικά - μεταφορικά μέσα».</w:t>
      </w:r>
    </w:p>
    <w:p>
      <w:pPr>
        <w:pStyle w:val="MainText"/>
        <w:spacing w:before="120" w:after="0"/>
        <w:rPr>
          <w:lang w:val="el" w:eastAsia="el"/>
        </w:rPr>
      </w:pPr>
      <w:r>
        <w:rPr>
          <w:b/>
          <w:bCs/>
          <w:lang w:val="el" w:eastAsia="el"/>
        </w:rPr>
        <w:t>6.</w:t>
      </w:r>
      <w:r>
        <w:rPr>
          <w:lang w:val="el" w:eastAsia="el"/>
        </w:rPr>
        <w:t xml:space="preserve"> Η φράση «πλωτά εφοδιαστικά μέσα» του τίτλου του ΚΕΦΑΛΑΙΟΥ II αντικαθίσταται από την φράση «πλωτά εφοδιαστικά - μεταφορικά μέσα».</w:t>
      </w:r>
    </w:p>
    <w:p>
      <w:pPr>
        <w:pStyle w:val="MainText"/>
        <w:spacing w:before="120" w:after="0"/>
        <w:rPr>
          <w:lang w:val="el" w:eastAsia="el"/>
        </w:rPr>
      </w:pPr>
      <w:r>
        <w:rPr>
          <w:b/>
          <w:bCs/>
          <w:lang w:val="el" w:eastAsia="el"/>
        </w:rPr>
        <w:t>7.</w:t>
      </w:r>
      <w:r>
        <w:rPr>
          <w:lang w:val="el" w:eastAsia="el"/>
        </w:rPr>
        <w:t xml:space="preserve"> Στις παραγράφους 1α), 1β), 2 και 2i) του άρθρου 3 οι φράσεις «πλωτών εφοδιαστικών μέσων», «πλωτά εφοδιαστικά μέσα» και «πλωτό εφοδιαστικά μέσο» αντικαθίσταται από τις φράσεις «πλωτών εφοδιαστικών - μεταφορικών μέσων», «πλωτά εφοδιαστικά - μεταφορικά μέσα» και «πλωτό εφοδιαστικά - μεταφορικό μέσο» αντίστοιχα.</w:t>
      </w:r>
    </w:p>
    <w:p>
      <w:pPr>
        <w:pStyle w:val="MainText"/>
        <w:spacing w:before="120" w:after="0"/>
        <w:rPr>
          <w:lang w:val="el" w:eastAsia="el"/>
        </w:rPr>
      </w:pPr>
      <w:r>
        <w:rPr>
          <w:b/>
          <w:bCs/>
          <w:lang w:val="el" w:eastAsia="el"/>
        </w:rPr>
        <w:t>8.</w:t>
      </w:r>
      <w:r>
        <w:rPr>
          <w:lang w:val="el" w:eastAsia="el"/>
        </w:rPr>
        <w:t xml:space="preserve"> Η φράση «πλωτού εφοδιαστικού μέσου» των παραγράφων 1 και 2i) του άρθρου 4 αντικαθίσταται από την φράση «πλωτού εφοδιαστικού - μεταφορικού μέσου».</w:t>
      </w:r>
    </w:p>
    <w:p>
      <w:pPr>
        <w:pStyle w:val="MainText"/>
        <w:spacing w:before="120" w:after="0"/>
        <w:rPr>
          <w:lang w:val="el" w:eastAsia="el"/>
        </w:rPr>
      </w:pPr>
      <w:r>
        <w:rPr>
          <w:b/>
          <w:bCs/>
          <w:lang w:val="el" w:eastAsia="el"/>
        </w:rPr>
        <w:t>9.</w:t>
      </w:r>
      <w:r>
        <w:rPr>
          <w:lang w:val="el" w:eastAsia="el"/>
        </w:rPr>
        <w:t xml:space="preserve"> Η φράση «πλωτού εφοδιαστικού μέσου» της παραγράφου 3 του άρθρου 6 αντικαθίσταται από την φράση «πλωτού εφοδιαστικού - μεταφορικού μέσου».</w:t>
      </w:r>
    </w:p>
    <w:p>
      <w:pPr>
        <w:pStyle w:val="MainText"/>
        <w:spacing w:before="120" w:after="0"/>
        <w:rPr>
          <w:lang w:val="el" w:eastAsia="el"/>
        </w:rPr>
      </w:pPr>
      <w:r>
        <w:rPr>
          <w:b/>
          <w:bCs/>
          <w:lang w:val="el" w:eastAsia="el"/>
        </w:rPr>
        <w:t>10.</w:t>
      </w:r>
      <w:r>
        <w:rPr>
          <w:lang w:val="el" w:eastAsia="el"/>
        </w:rPr>
        <w:t xml:space="preserve"> Το πρώτο και δεύτερο εδάφιο της παρ. 4 του άρθρου 6 αντικαθίσταται ως ακολούθως: «Το σύστημα μέτρησης υπόκειται σε επαλήθευση λειτουργίας του μετρητή στο μηδέν τοις εκατό (0 %) τουλάχιστον ετησίως , ενώ ο μετρητής διακριβώνεται τουλάχιστον κάθε τρία (3) χρόνια, εκτός και εάν ειδικοί λόγοι σε σχέση με τη λειτουργία του επιβάλλουν τη συχνότερη επαλήθευση ή διακρίβωση. Η διενέργεια της επαλήθευσης και της διακρίβωσης γίνεται από κατάλληλα κοινοποιημένο οργανισμό ή εργαστήριο διαπιστευμένο κατά ISO 17025 ή ισοδύναμο αυτού, στο σχετικό πεδίο. Ο εξοπλισμός μέτρησης που εγκαθίσταται σε πλωτά εφοδιαστικά - μεταφορικά μέσα πρέπει να είναι πιστοποιημένος ως προς την καταλληλότητά του για εγκατάσταση και χρήση σε πλοία και πλωτά μέσα από κατάλληλα διαπιστευμένο φορέα.</w:t>
      </w:r>
    </w:p>
    <w:p>
      <w:pPr>
        <w:pStyle w:val="MainText"/>
        <w:spacing w:before="120" w:after="0"/>
        <w:rPr>
          <w:lang w:val="el" w:eastAsia="el"/>
        </w:rPr>
      </w:pPr>
      <w:r>
        <w:rPr>
          <w:b/>
          <w:bCs/>
          <w:lang w:val="el" w:eastAsia="el"/>
        </w:rPr>
        <w:t>11.</w:t>
      </w:r>
      <w:r>
        <w:rPr>
          <w:lang w:val="el" w:eastAsia="el"/>
        </w:rPr>
        <w:t xml:space="preserve"> Στο άρθρο 9 προστίθεται εδάφιο ως εξής: «Τυχόν εγκατεστημένα συστήματα οφείλουν να συμμορφωθούν με τις προδιαγραφές που ορίζονται στην παρούσα εντός του προβλεπόμενου στο Άρθρο 10 χρονοδιαγράμματος».</w:t>
      </w:r>
    </w:p>
    <w:p>
      <w:pPr>
        <w:pStyle w:val="MainText"/>
        <w:spacing w:before="120" w:after="0"/>
        <w:rPr>
          <w:lang w:val="el" w:eastAsia="el"/>
        </w:rPr>
      </w:pPr>
      <w:r>
        <w:rPr>
          <w:b/>
          <w:bCs/>
          <w:lang w:val="el" w:eastAsia="el"/>
        </w:rPr>
        <w:t>12.</w:t>
      </w:r>
      <w:r>
        <w:rPr>
          <w:lang w:val="el" w:eastAsia="el"/>
        </w:rPr>
        <w:t xml:space="preserve"> Οι φράσεις «πλωτά εφοδιαστικά μέσα» και «πλωτό εφοδιαστικό μέσο» της παραγράφου 1 του άρθρου 7, και των άρθρων 8, 9 και 10 αντικαθίστανται από τις φράσεις «πλωτά εφοδιαστικά -μεταφορικά μέσα» και «πλωτό εφοδιαστικό - μεταφορικό μέσο αντίστοιχα.».</w:t>
      </w:r>
    </w:p>
    <w:p>
      <w:pPr>
        <w:pStyle w:val="MainText"/>
        <w:spacing w:before="120" w:after="0"/>
        <w:rPr>
          <w:lang w:val="el" w:eastAsia="el"/>
        </w:rPr>
      </w:pPr>
      <w:r>
        <w:rPr>
          <w:b/>
          <w:bCs/>
          <w:lang w:val="el" w:eastAsia="el"/>
        </w:rPr>
        <w:t>13.</w:t>
      </w:r>
      <w:r>
        <w:rPr>
          <w:lang w:val="el" w:eastAsia="el"/>
        </w:rPr>
        <w:t xml:space="preserve"> Το άρθρο 12 διαγράφεται.</w:t>
      </w:r>
    </w:p>
    <w:p>
      <w:pPr>
        <w:pStyle w:val="MainText"/>
        <w:spacing w:before="120" w:after="0"/>
        <w:rPr>
          <w:lang w:val="el" w:eastAsia="el"/>
        </w:rPr>
      </w:pPr>
      <w:r>
        <w:rPr>
          <w:b/>
          <w:bCs/>
          <w:lang w:val="el" w:eastAsia="el"/>
        </w:rPr>
        <w:t>14.</w:t>
      </w:r>
      <w:r>
        <w:rPr>
          <w:lang w:val="el" w:eastAsia="el"/>
        </w:rPr>
        <w:t xml:space="preserve"> Τα ακρωνύμια Γ.Γ.Π.Σ. και ΓΓΠΣ στα άρθρα της κοινής υπουργικής απόφασης να αντικατασταθούν με το ΓΓΠΣ&amp;ΔΥ.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Αυγούστου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Οικονομίας και Ανάπτυξης Οικονομικών</w:t>
      </w:r>
    </w:p>
    <w:p>
      <w:pPr>
        <w:spacing w:before="240" w:after="240"/>
        <w:rPr>
          <w:lang w:val="el" w:eastAsia="el"/>
        </w:rPr>
      </w:pPr>
      <w:r>
        <w:rPr>
          <w:b/>
          <w:bCs/>
          <w:lang w:val="el" w:eastAsia="el"/>
        </w:rPr>
        <w:t>ΑΛΕΞΑΝΔΡΟΣ ΧΑΡΙΤΣΗΣ ΑΙΚΑΤΕΡΙΝΗ ΠΑΠΑΝΑΤΣΙΟΥ</w:t>
      </w:r>
    </w:p>
    <w:p>
      <w:pPr>
        <w:spacing w:before="240" w:after="240"/>
        <w:rPr>
          <w:lang w:val="el" w:eastAsia="el"/>
        </w:rPr>
      </w:pPr>
      <w:r>
        <w:rPr>
          <w:lang w:val="el" w:eastAsia="el"/>
        </w:rPr>
        <w:t>Υποδομών Ναυτιλίας και Μεταφορών και Νησιωτικής Πολιτικής</w:t>
      </w:r>
    </w:p>
    <w:p>
      <w:pPr>
        <w:spacing w:before="240" w:after="240"/>
        <w:rPr>
          <w:lang w:val="el" w:eastAsia="el"/>
        </w:rPr>
      </w:pPr>
      <w:r>
        <w:rPr>
          <w:b/>
          <w:bCs/>
          <w:lang w:val="el" w:eastAsia="el"/>
        </w:rPr>
        <w:t>ΧΡΗΣΤΟΣ ΣΠΙΡΤΖΗΣ ΠΑΝΑΓΙΩΤΗΣ ΚΟΥΡΟΥΜΠΛΗΣ</w:t>
      </w:r>
    </w:p>
    <w:p>
      <w:pPr>
        <w:spacing w:before="240" w:after="240"/>
        <w:rPr>
          <w:lang w:val="el" w:eastAsia="el"/>
        </w:rPr>
      </w:pPr>
      <w:r>
        <w:rPr>
          <w:lang w:val="el" w:eastAsia="el"/>
        </w:rPr>
        <w:t>Ο Διοικητής της Ανεξάρτητης</w:t>
      </w:r>
    </w:p>
    <w:p>
      <w:pPr>
        <w:spacing w:before="240" w:after="240"/>
        <w:rPr>
          <w:lang w:val="el" w:eastAsia="el"/>
        </w:rPr>
      </w:pPr>
      <w:r>
        <w:rPr>
          <w:lang w:val="el" w:eastAsia="el"/>
        </w:rPr>
        <w:t>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