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 xml:space="preserve">1. </w:t>
      </w:r>
      <w:r>
        <w:rPr>
          <w:b/>
          <w:bCs/>
          <w:lang w:val="el" w:eastAsia="el"/>
        </w:rPr>
        <w:t>Δ/ΝΣΗ ΔΙΕΘΝΩΝ ΟΙΚΟΝΟΜΙΚΩΝ</w:t>
      </w:r>
    </w:p>
    <w:p>
      <w:pPr>
        <w:pStyle w:val="PreambelText"/>
        <w:spacing w:before="240" w:after="240"/>
        <w:rPr>
          <w:lang w:val="el" w:eastAsia="el"/>
        </w:rPr>
      </w:pPr>
      <w:r>
        <w:rPr>
          <w:b/>
          <w:bCs/>
          <w:lang w:val="el" w:eastAsia="el"/>
        </w:rPr>
        <w:t>ΣΧΕΣΕΩΝ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ΔΙΕΘΝΟΥΣ ΔΙΟΙΚΗΤΙΚΗΣ ΣΥΝΕΡΓΑΣΙΑΣ</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Τηλ/πία</w:t>
      </w:r>
    </w:p>
    <w:p>
      <w:pPr>
        <w:spacing w:before="240" w:after="240"/>
        <w:rPr>
          <w:lang w:val="el" w:eastAsia="el"/>
        </w:rPr>
      </w:pPr>
      <w:r>
        <w:rPr>
          <w:lang w:val="el" w:eastAsia="el"/>
        </w:rPr>
        <w:t>Ηλ. ταχ.</w:t>
      </w:r>
    </w:p>
    <w:p>
      <w:pPr>
        <w:spacing w:before="240" w:after="240"/>
        <w:rPr>
          <w:lang w:val="el" w:eastAsia="el"/>
        </w:rPr>
      </w:pPr>
      <w:r>
        <w:rPr>
          <w:lang w:val="el" w:eastAsia="el"/>
        </w:rPr>
        <w:t>Ιστοσελίδα</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Αθήνα</w:t>
      </w:r>
    </w:p>
    <w:p>
      <w:pPr>
        <w:spacing w:before="240" w:after="240"/>
        <w:rPr>
          <w:lang w:val="el" w:eastAsia="el"/>
        </w:rPr>
      </w:pPr>
      <w:r>
        <w:rPr>
          <w:lang w:val="el" w:eastAsia="el"/>
        </w:rPr>
        <w:t>Χ. Ζαχαριάδου</w:t>
      </w:r>
    </w:p>
    <w:p>
      <w:pPr>
        <w:spacing w:before="240" w:after="240"/>
        <w:rPr>
          <w:lang w:val="el" w:eastAsia="el"/>
        </w:rPr>
      </w:pPr>
      <w:r>
        <w:rPr>
          <w:lang w:val="el" w:eastAsia="el"/>
        </w:rPr>
        <w:t>210 - 33 75 868</w:t>
      </w:r>
    </w:p>
    <w:p>
      <w:pPr>
        <w:spacing w:before="240" w:after="240"/>
        <w:rPr>
          <w:lang w:val="el" w:eastAsia="el"/>
        </w:rPr>
      </w:pPr>
      <w:r>
        <w:rPr>
          <w:lang w:val="el" w:eastAsia="el"/>
        </w:rPr>
        <w:t>210 - 33 75 854</w:t>
      </w:r>
    </w:p>
    <w:p>
      <w:pPr>
        <w:spacing w:before="240" w:after="240"/>
        <w:rPr>
          <w:lang w:val="el" w:eastAsia="el"/>
        </w:rPr>
      </w:pPr>
      <w:hyperlink r:id="rId4" w:history="1">
        <w:r>
          <w:rPr>
            <w:rStyle w:val="Hyperlink"/>
            <w:color w:val="0000EE"/>
            <w:u w:color="0000EE"/>
            <w:lang w:val="el" w:eastAsia="el"/>
          </w:rPr>
          <w:t>dos.c@mofadm.gr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lang w:val="el" w:eastAsia="el"/>
        </w:rPr>
        <w:t>ΠΡΟΣ ΑΠΟΔΕΚΤΕΣ Π.Δ.</w:t>
      </w:r>
    </w:p>
    <w:p>
      <w:pPr>
        <w:spacing w:before="240" w:after="240"/>
        <w:rPr>
          <w:lang w:val="el" w:eastAsia="el"/>
        </w:rPr>
      </w:pPr>
      <w:r>
        <w:rPr>
          <w:lang w:val="el" w:eastAsia="el"/>
        </w:rPr>
        <w:t>ΑΠΟΔΕΚΤΕΣ Π.Δ.</w:t>
      </w:r>
    </w:p>
    <w:p>
      <w:pPr>
        <w:spacing w:before="240" w:after="240"/>
        <w:rPr>
          <w:lang w:val="el" w:eastAsia="el"/>
        </w:rPr>
      </w:pPr>
      <w:r>
        <w:rPr>
          <w:lang w:val="el" w:eastAsia="el"/>
        </w:rPr>
        <w:t>ΚΟΙΝ.</w:t>
      </w:r>
    </w:p>
    <w:p>
      <w:pPr>
        <w:spacing w:before="240" w:after="240"/>
        <w:rPr>
          <w:lang w:val="el" w:eastAsia="el"/>
        </w:rPr>
      </w:pPr>
      <w:r>
        <w:rPr>
          <w:lang w:val="el" w:eastAsia="el"/>
        </w:rPr>
        <w:t xml:space="preserve">2. </w:t>
      </w:r>
      <w:r>
        <w:rPr>
          <w:b/>
          <w:bCs/>
          <w:lang w:val="el" w:eastAsia="el"/>
        </w:rPr>
        <w:t>ΓΕΝΙΚΗ Δ/ΝΣΗ ΦΟΡΟΛΟΓΙΚΗΣ ΔΙΟΙΚΗΣΗΣ</w:t>
      </w:r>
    </w:p>
    <w:p>
      <w:pPr>
        <w:spacing w:before="240" w:after="240"/>
        <w:rPr>
          <w:lang w:val="el" w:eastAsia="el"/>
        </w:rPr>
      </w:pPr>
      <w:r>
        <w:rPr>
          <w:b/>
          <w:bCs/>
          <w:lang w:val="el" w:eastAsia="el"/>
        </w:rPr>
        <w:t>Δ/ΝΣΗ ΕΛΕΓΧΩΝ</w:t>
      </w:r>
    </w:p>
    <w:p>
      <w:pPr>
        <w:pStyle w:val="Heading1"/>
        <w:spacing w:before="240" w:after="240"/>
        <w:rPr>
          <w:lang w:val="el" w:eastAsia="el"/>
        </w:rPr>
      </w:pPr>
      <w:r>
        <w:rPr>
          <w:rStyle w:val="hierarchy-num"/>
          <w:b/>
          <w:bCs/>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29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r>
              <w:rPr>
                <w:b w:val="0"/>
                <w:bCs w:val="0"/>
                <w:i w:val="0"/>
                <w:iCs w:val="0"/>
                <w:smallCaps w:val="0"/>
                <w:color w:val="000000"/>
                <w:lang w:val="el" w:eastAsia="el"/>
              </w:rPr>
              <w:t xml:space="preserve"> Καρ. 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 Ντρης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210 - 33 75 527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 ταχ.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6" w:history="1">
              <w:r>
                <w:rPr>
                  <w:rStyle w:val="Hyperlink"/>
                  <w:b w:val="0"/>
                  <w:bCs w:val="0"/>
                  <w:i w:val="0"/>
                  <w:iCs w:val="0"/>
                  <w:smallCaps w:val="0"/>
                  <w:color w:val="0000EE"/>
                  <w:u w:color="0000EE"/>
                  <w:lang w:val="el" w:eastAsia="el"/>
                </w:rPr>
                <w:t>d.eleg4@mofadm.gr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Ιστοσελίδα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7"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Κατάλογος οντοτήτων και λογαριασμών που πρέπει να αντιμετωπιστούν ως Μη Δηλούντα Χρηματοπιστωτικά Ιδρύματα και Εξαιρούμενοι Λογαριασμοί για τα έτη 2016 και 2017, και ειδικότερα θέματα σχετικά με την τήρηση των κανόνων υποβολής στοιχείων και δέουσας επιμέλειας δυνάμει των εξουσιοδοτήσεων του άρθρου 9 παρ. 5 περίπτ. β’ δεύτερο εδάφιο και παρ. 7 περίπτ. γ’ του ν.4170/2013 (Α’ 163) και του άρθρου πέμπτου παρ. 4 πρώτο και δεύτερο εδάφιο και παρ. 5 του ν. 4428/2016 (Α’ 190).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9, παρ. 5 περίπτ. β’, δεύτερο εδάφιο και παρ. 7 περίπτ. γ’ του ν.4170/2013 (Α΄163) «Ενσωμάτωση της Οδηγίας 2011/16/ΕΕ, ρύθμιση θεμάτων της ΕΛ.Τ.Ε., αναμόρφωση Οργανισμού του Ν.Σ.Κ. και άλλες διατάξεις», όπως τροποποιήθηκε, συμπληρώθηκε και ισχύει, και ιδίως αναφορικά με την έκδοση απόφασης του Διοικητή της Ανεξάρτητης Αρχής Δημοσίων Εσόδων (ΑΑΔΕ), σχετικά με την έκδοση καταλόγου οντοτήτων και λογαριασμών που πρέπει να αντιμετωπιστούν ως Μη Δηλούντα Χρηματοπιστωτικά Ιδρύματα και Εξαιρούμενοι Λογαριασμοί και τη</w:t>
      </w:r>
    </w:p>
    <w:p>
      <w:pPr>
        <w:spacing w:before="240" w:after="240"/>
        <w:rPr>
          <w:lang w:val="el" w:eastAsia="el"/>
        </w:rPr>
      </w:pPr>
      <w:r>
        <w:rPr>
          <w:b/>
          <w:bCs/>
          <w:lang w:val="el" w:eastAsia="el"/>
        </w:rPr>
        <w:t>ρύθμιση θεμάτων σχετικά με την ανταλλαγή πληροφοριών της παρ. 1 περίπτ. β’ του ίδιου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Η’, Παράρτημα Ι, Τμήμα ΙΙΙ, Ενότητα Β’ παρ. 5 και Ενότητα Γ’ παρ. 5 στοιχείο γ’ και Τμήμα VIII, Ενότητα Β’ παρ. 1 στοιχείο γ’ και Ενότητα Γ’ παρ. 17 στοιχείο ζ’ του ν. 4170/2013, όπως τροποποιήθηκε, συμπληρώθηκε και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δεύτερου, παρ. 3 υποπαρ. α’ και του άρθρου πέμπτου, παρ. 4 πρώτο και δεύτερο εδάφιο και παρ. 5 του ν. 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τρίτου, παρ. 1, Παράρτημα Ι, Τμήμα ΙΙΙ, Ενότητα Β’ παρ. 5 και Ενότητα Γ’ παρ. 5 στοιχείο γ’ και Τμήμα VIII, Ενότητα Β’ παρ. 1 στοιχείο γ’ και Ενότητα Γ’ παρ. 17 στοιχείο ζ’ του ν. 4428/2016.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1 του ν. 3756/2009 (Α’ 53) «Σύστημα Άυλων Τίτλων, διατάξεις για την Κεφαλαιαγορά, φορολογικά θέματα και λοιπές διατάξεις».</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12, παρ. 3 στοιχείο ζ’, 14 παρ. 1 στοιχείο ι’, 15 παρ. 4, 62 παρ. 1 στοιχείο ε’, 64 παρ. 1 στοιχείο ε’ και 72 παρ. 1 και 16 του ν. 4172/2013 (Α’ 167) «Φορολογία εισοδήματος, επείγοντα μέτρα εφαρμογής του ν. 4046/2012, του ν. 4093/2012 και του ν. 4127/2013 και άλλες διατάξεις».</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στοιχεία α’, γ’ και ζ’ του ν. 4364/2016 (Α’ 13 ) «Προσαρμογή της ελληνικής νομοθεσίας στην Οδηγία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 ΙΙ), στα άρθρα 2 και 8 της Οδηγίας 2014/51/ΕΕ του Ευρωπαϊκού Κοινοβουλίου και του Συμβουλίου της 16ης Απριλίου 2014 σχετικά με την τροποποίηση των Οδηγιών 2003/71/ΕΚ και 2009/138/ΕΚ, και των Κανονισμών (ΕΚ) αριθ. 1060/2009, (ΕΕ) αριθ. 1094/2010 και (ΕΕ) αριθ. 1095/2010, όσον αφορά τις εξουσίες της Ευρωπαϊκής Αρχής Ασφαλίσεων και Επαγγελματικών Συντάξεων (εφεξής ΕΑΑΕΣ) και της Ευρωπαϊκής Αρχής Κινητών Αξιών και Αγορών, καθώς και στο άρθρο 4 της Οδηγίας 2011/89/ΕΕ του Ευρωπαϊκού Κοινοβουλίου και του Συμβουλίου, της 16ης Νοεμβρίου 2011, σχετικά με τη συμπληρωματική εποπτεία των χρηματοπιστωτικών οντοτήτων που ανήκουν σε χρηματοπιστωτικούς ομίλους ετερογενών δραστηριοτήτων και συναφείς διατάξεις της νομοθεσίας περί της ιδιωτικής ασφάλισης και άλλες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Του ν.4174/2013 (Α’ 170) (Κώδικας Φορολογικής Διαδικασίας) και ιδίως των άρθρων 15, 23 και 29.</w:t>
      </w:r>
    </w:p>
    <w:p>
      <w:pPr>
        <w:pStyle w:val="StructureList1"/>
        <w:spacing w:before="120" w:after="0"/>
        <w:rPr>
          <w:lang w:val="el" w:eastAsia="el"/>
        </w:rPr>
      </w:pPr>
      <w:r>
        <w:rPr>
          <w:b/>
          <w:bCs/>
          <w:lang w:val="el" w:eastAsia="el"/>
        </w:rPr>
        <w:t>θ)</w:t>
      </w:r>
      <w:r>
        <w:rPr>
          <w:b/>
          <w:bCs/>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b/>
          <w:bCs/>
          <w:lang w:val="el" w:eastAsia="el"/>
        </w:rPr>
        <w:t>2. Την από 24.9.2015, 25.9.2015 και 18.11.2016 ηλεκτρονική αλληλογραφία της Τράπεζας της Ελλάδος προς τη Δ/νση Διεθνών Οικονομικών Σχέσεων (Δ/νση ΔΟΣ) της ΑΑΔΕ.</w:t>
      </w:r>
    </w:p>
    <w:p>
      <w:pPr>
        <w:spacing w:before="240" w:after="240"/>
        <w:rPr>
          <w:lang w:val="el" w:eastAsia="el"/>
        </w:rPr>
      </w:pPr>
      <w:r>
        <w:rPr>
          <w:b/>
          <w:bCs/>
          <w:lang w:val="el" w:eastAsia="el"/>
        </w:rPr>
        <w:t>3. Την από 25.9.2015 ηλεκτρονική αλληλογραφία της Επιτροπής Κεφαλαιαγοράς προς τη Δ/νση ΔΟΣ της ΑΑΔΕ.</w:t>
      </w:r>
    </w:p>
    <w:p>
      <w:pPr>
        <w:spacing w:before="240" w:after="240"/>
        <w:rPr>
          <w:lang w:val="el" w:eastAsia="el"/>
        </w:rPr>
      </w:pPr>
      <w:r>
        <w:rPr>
          <w:b/>
          <w:bCs/>
          <w:lang w:val="el" w:eastAsia="el"/>
        </w:rPr>
        <w:t>4. Την από 25.9.2015 και 22.12.2016 ηλεκτρονική αλληλογραφία της Δ/νσης ΔΟΣ της ΑΑΔΕ προς την Ευρωπαϊκή Επιτροπή.</w:t>
      </w:r>
    </w:p>
    <w:p>
      <w:pPr>
        <w:spacing w:before="240" w:after="240"/>
        <w:rPr>
          <w:lang w:val="el" w:eastAsia="el"/>
        </w:rPr>
      </w:pPr>
      <w:r>
        <w:rPr>
          <w:b/>
          <w:bCs/>
          <w:lang w:val="el" w:eastAsia="el"/>
        </w:rPr>
        <w:t>5. Τον κατάλογο λογαριασμών που πρέπει να αντιμετωπιστούν ως εξαιρούμενοι λογαριασμοί για τους σκοπούς του Τμήματος VΙΙΙ, Ενότητα Γ’ παρ. 17 στοιχείο ζ’ του Παραρτήματος Ι της οδηγίας 2011/16/ΕΕ του Συμβουλίου της 15</w:t>
      </w:r>
      <w:r>
        <w:rPr>
          <w:b/>
          <w:bCs/>
          <w:sz w:val="30"/>
          <w:szCs w:val="30"/>
          <w:vertAlign w:val="superscript"/>
          <w:lang w:val="el" w:eastAsia="el"/>
        </w:rPr>
        <w:t>ης</w:t>
      </w:r>
      <w:r>
        <w:rPr>
          <w:b/>
          <w:bCs/>
          <w:lang w:val="el" w:eastAsia="el"/>
        </w:rPr>
        <w:t xml:space="preserve"> Φεβρουαρίου 2011 σχετικά με τη διοικητική συνεργασία στον τομέα της φορολογίας και κατάργηση της οδηγίας 77/799/ΕΟΚ, όπως τροποποιήθηκε και ισχύει (EE L 64 της 11.3.2011, EE L 359 της 16.12.2014, ΕΕ L 332 της 18.12.2015, ΕΕ L 146 της 3.6.2016 και EE L 342 της 16.12.2016), όπως δημοσιεύθηκε στην Επίσημη Εφημερίδα της Ευρωπαϊκής Ένωσης και αναθεωρήθηκε (ΕΕ C 362 της 31.10.2015, ΕΕ C της 23.12.2016 και ΕΕ C 139 της 4.5.2017).</w:t>
      </w:r>
    </w:p>
    <w:p>
      <w:pPr>
        <w:spacing w:before="240" w:after="240"/>
        <w:rPr>
          <w:lang w:val="el" w:eastAsia="el"/>
        </w:rPr>
      </w:pPr>
      <w:r>
        <w:rPr>
          <w:b/>
          <w:bCs/>
          <w:lang w:val="el" w:eastAsia="el"/>
        </w:rPr>
        <w:t>6. Τον κατάλογο των οντοτήτων που πρέπει να αντιμετωπίζονται ως Μη Δηλούντα Χρηματοπιστωτικά Ιδρύματα για τους σκοπούς του Τμήματος VIII, Ενότητα Β’ παρ. 1 στοιχείο γ’ του Παραρτήματος Ι της οδηγίας 2011/16/ΕΕ του Συμβουλίου, όπως δημοσιεύθηκε στην Επίσημη Εφημερίδα της Ευρωπαϊκής Ένωσης (ΕΕ C 362 της 31.10.2015).</w:t>
      </w:r>
    </w:p>
    <w:p>
      <w:pPr>
        <w:spacing w:before="240" w:after="240"/>
        <w:rPr>
          <w:lang w:val="el" w:eastAsia="el"/>
        </w:rPr>
      </w:pPr>
      <w:r>
        <w:rPr>
          <w:b/>
          <w:bCs/>
          <w:lang w:val="el" w:eastAsia="el"/>
        </w:rPr>
        <w:t>7. Τα Σχόλια του ΟΟΣΑ επί του Κοινού Προτύπου Αναφοράς (ΚΠΑ), όπως εγκρίθηκαν από το Συμβούλιο του ΟΟΣΑ στις 15 Ιουλίου 2014 και ισχύουν.</w:t>
      </w:r>
    </w:p>
    <w:p>
      <w:pPr>
        <w:spacing w:before="240" w:after="240"/>
        <w:rPr>
          <w:lang w:val="el" w:eastAsia="el"/>
        </w:rPr>
      </w:pPr>
      <w:r>
        <w:rPr>
          <w:b/>
          <w:bCs/>
          <w:lang w:val="el" w:eastAsia="el"/>
        </w:rPr>
        <w:t>8. Την αριθμ. Δ. ΟΡΓ. Α 1036960/10.3.2017 Απόφαση του Διοικητή της ΑΑΔΕ «Οργανισμός της Ανεξάρτητης Αρχής Δημοσίων Εσόδων (Α.Α.Δ.Ε.)» (Β’ 968).</w:t>
      </w:r>
    </w:p>
    <w:p>
      <w:pPr>
        <w:spacing w:before="240" w:after="240"/>
        <w:rPr>
          <w:lang w:val="el" w:eastAsia="el"/>
        </w:rPr>
      </w:pPr>
      <w:r>
        <w:rPr>
          <w:b/>
          <w:bCs/>
          <w:lang w:val="el" w:eastAsia="el"/>
        </w:rPr>
        <w:t>9.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b/>
          <w:bCs/>
          <w:lang w:val="el" w:eastAsia="el"/>
        </w:rPr>
        <w:t>10. Την αριθ.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w:t>
      </w:r>
    </w:p>
    <w:p>
      <w:pPr>
        <w:spacing w:before="240" w:after="240"/>
        <w:rPr>
          <w:lang w:val="el" w:eastAsia="el"/>
        </w:rPr>
      </w:pPr>
      <w:r>
        <w:rPr>
          <w:b/>
          <w:bCs/>
          <w:lang w:val="el" w:eastAsia="el"/>
        </w:rPr>
        <w:t>11. Την εισήγηση της Δ/νσης ΔΟΣ της ΑΑΔΕ ως αρμόδιας αρχής κατά το άρθρο 5 παρ. 1 του ν. 4170/2013.</w:t>
      </w:r>
    </w:p>
    <w:p>
      <w:pPr>
        <w:spacing w:before="240" w:after="240"/>
        <w:rPr>
          <w:lang w:val="el" w:eastAsia="el"/>
        </w:rPr>
      </w:pPr>
      <w:r>
        <w:rPr>
          <w:b/>
          <w:bCs/>
          <w:lang w:val="el" w:eastAsia="el"/>
        </w:rPr>
        <w:t>12. Την ανάγκη ρύθμισης όλων των σχετικών θεμάτων προκειμένου να εφαρμοστεί ομαλά και απρόσκοπτα το πλαίσιο της αυτόματης ανταλλαγής πληροφοριών χρηματοοικονομικών λογαριασμών.</w:t>
      </w:r>
    </w:p>
    <w:p>
      <w:pPr>
        <w:spacing w:before="240" w:after="240"/>
        <w:rPr>
          <w:lang w:val="el" w:eastAsia="el"/>
        </w:rPr>
      </w:pPr>
      <w:r>
        <w:rPr>
          <w:b/>
          <w:bCs/>
          <w:lang w:val="el" w:eastAsia="el"/>
        </w:rPr>
        <w:t>13.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Υποχρεώσεις εποπτευόντων φορέων σχετικά με την εφαρμογή της αυτόματηςανταλλαγής πληροφοριών χρηματοοικονομικών λογαριασμών</w:t>
      </w:r>
    </w:p>
    <w:p>
      <w:pPr>
        <w:pStyle w:val="MainText"/>
        <w:spacing w:before="120" w:after="0"/>
        <w:rPr>
          <w:lang w:val="el" w:eastAsia="el"/>
        </w:rPr>
      </w:pPr>
      <w:r>
        <w:rPr>
          <w:b/>
          <w:bCs/>
          <w:lang w:val="el" w:eastAsia="el"/>
        </w:rPr>
        <w:t>1.</w:t>
      </w:r>
      <w:r>
        <w:rPr>
          <w:b/>
          <w:bCs/>
          <w:lang w:val="el" w:eastAsia="el"/>
        </w:rPr>
        <w:t xml:space="preserve"> Για το σκοπό της διασφάλισης των προϋποθέσεων που παρατίθενται στο Κεφάλαιο Η’, Παράρτημα Ι, Τμήμα VIII, Ενότητα Β’ παρ. 1 στοιχείο γ’ και Ενότητα Γ’ παρ. 17 στοιχείο ζ’ του ν. 4170/2013 και στο άρθρο τρίτο, παρ. 1, Παράρτημα Ι, Τμήμα VIII Ενότητα Β’ παρ. 1 στοιχείο γ’ και Ενότητα Γ’ παρ. 17 στοιχείο ζ’ του ν. 4428/2016, η Τράπεζα της Ελλάδος και η Επιτροπή Κεφαλαιαγοράς διαβιβάζουν στη Δ/νση ΔΟΣ της ΑΑΔΕ, ως αρμόδιας αρχής κατά το άρθρο 5 παρ. 1 του ν. 4170/2013, κατάλογο οντοτήτων και λογαριασμών που πρέπει να αντιμετωπιστούν ως Μη Δηλούντα Χρηματοπιστωτικά Ιδρύματα και Εξαιρούμενοι Λογαριασμοί, λαμβάνοντας υπόψη τα αντίστοιχα Σχόλια του ΟΟΣΑ επί του ΚΠΑ, όπως εγκρίθηκαν από το Συμβούλιο του ΟΟΣΑ στις 15 Ιουλίου 2014 και ισχύουν.</w:t>
      </w:r>
    </w:p>
    <w:p>
      <w:pPr>
        <w:pStyle w:val="MainText"/>
        <w:spacing w:before="120" w:after="0"/>
        <w:rPr>
          <w:lang w:val="el" w:eastAsia="el"/>
        </w:rPr>
      </w:pPr>
      <w:r>
        <w:rPr>
          <w:b/>
          <w:bCs/>
          <w:lang w:val="el" w:eastAsia="el"/>
        </w:rPr>
        <w:t>2.</w:t>
      </w:r>
      <w:r>
        <w:rPr>
          <w:b/>
          <w:bCs/>
          <w:lang w:val="el" w:eastAsia="el"/>
        </w:rPr>
        <w:t xml:space="preserve"> Σε περίπτωση μη ύπαρξης οντοτήτων ή/και λογαριασμών της προηγούμενης παραγράφου, η Τράπεζα της Ελλάδος και η Επιτροπή Κεφαλαιαγοράς οφείλουν να ενημερώσουν σχετικώς τη Δ/νση ΔΟΣ της ΑΑΔΕ.</w:t>
      </w:r>
    </w:p>
    <w:p>
      <w:pPr>
        <w:pStyle w:val="MainText"/>
        <w:spacing w:before="120" w:after="0"/>
        <w:rPr>
          <w:lang w:val="el" w:eastAsia="el"/>
        </w:rPr>
      </w:pPr>
      <w:r>
        <w:rPr>
          <w:b/>
          <w:bCs/>
          <w:lang w:val="el" w:eastAsia="el"/>
        </w:rPr>
        <w:t>3.</w:t>
      </w:r>
      <w:r>
        <w:rPr>
          <w:b/>
          <w:bCs/>
          <w:lang w:val="el" w:eastAsia="el"/>
        </w:rPr>
        <w:t xml:space="preserve"> Η Τράπεζα της Ελλάδος και η Επιτροπή Κεφαλαιαγοράς διαβιβάζουν στη Δ/νση ΔΟΣ της ΑΑΔΕ κατάλογο των Δηλούντων Ελληνικών Χρηματοπιστωτικών Ιδρυμάτων κατά την έννοια του Κεφαλαίου Η’, Παράρτημα Ι, Τμήμα VIII, Ενότητα Α’ παρ. 1 του ν.4170/2013 και του άρθρου τρίτου, παρ. 1, Παράρτημα Ι, Τμήμα VIII, Ενότητα Α’ παρ. 1 του ν. 4428/2016.</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Χρόνος και τρόπος υποβολής των καταλόγων του άρθρου 1</w:t>
      </w:r>
    </w:p>
    <w:p>
      <w:pPr>
        <w:pStyle w:val="MainText"/>
        <w:spacing w:before="120" w:after="0"/>
        <w:rPr>
          <w:lang w:val="el" w:eastAsia="el"/>
        </w:rPr>
      </w:pPr>
      <w:r>
        <w:rPr>
          <w:b/>
          <w:bCs/>
          <w:lang w:val="el" w:eastAsia="el"/>
        </w:rPr>
        <w:t>1.</w:t>
      </w:r>
      <w:r>
        <w:rPr>
          <w:b/>
          <w:bCs/>
          <w:lang w:val="el" w:eastAsia="el"/>
        </w:rPr>
        <w:t xml:space="preserve"> Για την εφαρμογή των παρ. 1 και 2 του άρθρου 1 της παρούσας, ως χρόνος υποβολής του καταλόγου Μη Δηλούντων Χρηματοπιστωτικών Ιδρυμάτων ή/και των Εξαιρούμενων Λογαριασμών ή ως χρόνος ενημέρωσης της Δ/νσης ΔΟΣ της ΑΑΔΕ για τη μη ύπαρξή τους ορίζεται η 15</w:t>
      </w:r>
      <w:r>
        <w:rPr>
          <w:b/>
          <w:bCs/>
          <w:sz w:val="30"/>
          <w:szCs w:val="30"/>
          <w:vertAlign w:val="superscript"/>
          <w:lang w:val="el" w:eastAsia="el"/>
        </w:rPr>
        <w:t>η</w:t>
      </w:r>
      <w:r>
        <w:rPr>
          <w:b/>
          <w:bCs/>
          <w:lang w:val="el" w:eastAsia="el"/>
        </w:rPr>
        <w:t xml:space="preserve"> Σεπτεμβρίου του προηγούμενου έτους από το έτος εφαρμογής των κανόνων υποβολής στοιχείων και δέουσας επιμέλειας, σύμφωνα με το Κεφάλαιο Η’, Παραρτήματα Ι και ΙΙ του ν. 4170/2013 και το άρθρο τρίτο, παρ. 1 και 2 του ν. 4428/2016.</w:t>
      </w:r>
    </w:p>
    <w:p>
      <w:pPr>
        <w:pStyle w:val="MainText"/>
        <w:spacing w:before="120" w:after="0"/>
        <w:rPr>
          <w:lang w:val="el" w:eastAsia="el"/>
        </w:rPr>
      </w:pPr>
      <w:r>
        <w:rPr>
          <w:b/>
          <w:bCs/>
          <w:lang w:val="el" w:eastAsia="el"/>
        </w:rPr>
        <w:t>2.</w:t>
      </w:r>
      <w:r>
        <w:rPr>
          <w:b/>
          <w:bCs/>
          <w:lang w:val="el" w:eastAsia="el"/>
        </w:rPr>
        <w:t xml:space="preserve"> Για την εφαρμογή της παρ. 3 του άρθρου 1 της παρούσας, η υποβολή του καταλόγου των Δηλούντων Ελληνικών Χρηματοπιστωτικών Ιδρυμάτων λαμβάνει χώρα εντός μηνός από το τέλος του έτους εφαρμογής των κανόνων υποβολής στοιχείων και δέουσας επιμέλειας, σύμφωνα με το Κεφάλαιο Η’, Παραρτήματα Ι και ΙΙ του ν. 4170/2013 και το άρθρο τρίτο, παρ. 1 και 2 του ν. 4428/2016.</w:t>
      </w:r>
    </w:p>
    <w:p>
      <w:pPr>
        <w:spacing w:before="240" w:after="240"/>
        <w:rPr>
          <w:lang w:val="el" w:eastAsia="el"/>
        </w:rPr>
      </w:pPr>
      <w:r>
        <w:rPr>
          <w:b/>
          <w:bCs/>
          <w:lang w:val="el" w:eastAsia="el"/>
        </w:rPr>
        <w:t>Ειδικά για το έτος 2016, η υποβολή αυτού του καταλόγου μπορεί να λάβει χώρα εντός μηνός από το τέλος του τρέχοντος έτους.</w:t>
      </w:r>
    </w:p>
    <w:p>
      <w:pPr>
        <w:pStyle w:val="MainText"/>
        <w:spacing w:before="120" w:after="0"/>
        <w:rPr>
          <w:lang w:val="el" w:eastAsia="el"/>
        </w:rPr>
      </w:pPr>
      <w:r>
        <w:rPr>
          <w:b/>
          <w:bCs/>
          <w:lang w:val="el" w:eastAsia="el"/>
        </w:rPr>
        <w:t>3.</w:t>
      </w:r>
      <w:r>
        <w:rPr>
          <w:b/>
          <w:bCs/>
          <w:lang w:val="el" w:eastAsia="el"/>
        </w:rPr>
        <w:t xml:space="preserve"> Ο κατάλογος των Μη Δηλούντων Χρηματοπιστωτικών Ιδρυμάτων ή/και των Εξαιρούμενων Λογαριασμών της παρ. 1 του άρθρου 1 της παρούσας, υποβάλλεται σε ηλεκτρονική μορφή σύμφωνα με τα υποδείγματα που περιλαμβάνονται στα Παραρτήματα 1 και 2 της παρούσας, αντίστοιχα, τα οποία αποτελούν αναπόσπαστο μέρος της.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Διαβίβαση του καταλόγου των Δηλούντων Ελληνικών ΧρηματοπιστωτικώνΙδρυμάτων</w:t>
      </w:r>
    </w:p>
    <w:p>
      <w:pPr>
        <w:spacing w:before="240" w:after="240"/>
        <w:rPr>
          <w:lang w:val="el" w:eastAsia="el"/>
        </w:rPr>
      </w:pPr>
      <w:r>
        <w:rPr>
          <w:b/>
          <w:bCs/>
          <w:lang w:val="el" w:eastAsia="el"/>
        </w:rPr>
        <w:t>Ο κατάλογος της παρ. 3 του άρθρου 1 της παρούσας διαβιβάζεται από τη Δ/νση ΔΟΣ στη Δ/νση Ελέγχων της Γενικής Δ/νσης Φορολογικής Διοίκησης της ΑΑΔΕ.</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Κατάλογος οντοτήτων και λογαριασμών που αντιμετωπίζονται ως Μη Δηλούντα Χρηματοπιστωτικά Ιδρύματα και Εξαιρούμενοι Λογαριασμοί</w:t>
      </w:r>
    </w:p>
    <w:p>
      <w:pPr>
        <w:pStyle w:val="MainText"/>
        <w:spacing w:before="120" w:after="0"/>
        <w:rPr>
          <w:lang w:val="el" w:eastAsia="el"/>
        </w:rPr>
      </w:pPr>
      <w:r>
        <w:rPr>
          <w:b/>
          <w:bCs/>
          <w:lang w:val="el" w:eastAsia="el"/>
        </w:rPr>
        <w:t>1.</w:t>
      </w:r>
      <w:r>
        <w:rPr>
          <w:b/>
          <w:bCs/>
          <w:lang w:val="el" w:eastAsia="el"/>
        </w:rPr>
        <w:t xml:space="preserve"> Για τα έτη 2016 και 2017, καμία Οντότητα, κατά την έννοια του Κεφαλαίου Η’, Παράρτημα Ι, Τμήμα VIII, Ενότητας Ε’ παρ. 3 και του άρθρου τρίτου, παρ. 1, Παράρτημα Ι, Τμήμα VIII, Ενότητα Ε’ παρ. 3 του ν. 4428/2016, δεν λογίζεται ως Μη Δηλούν Χρηματοπιστωτικό Ίδρυμα.</w:t>
      </w:r>
    </w:p>
    <w:p>
      <w:pPr>
        <w:pStyle w:val="MainText"/>
        <w:spacing w:before="120" w:after="0"/>
        <w:rPr>
          <w:lang w:val="el" w:eastAsia="el"/>
        </w:rPr>
      </w:pPr>
      <w:r>
        <w:rPr>
          <w:b/>
          <w:bCs/>
          <w:lang w:val="el" w:eastAsia="el"/>
        </w:rPr>
        <w:t>2.</w:t>
      </w:r>
      <w:r>
        <w:rPr>
          <w:b/>
          <w:bCs/>
          <w:lang w:val="el" w:eastAsia="el"/>
        </w:rPr>
        <w:t xml:space="preserve"> Για τα έτη 2016 και 2017, ως Εξαιρούμενος Λογαριασμός λογίζονται τα ομαδικά ασφαλιστήρια συνταξιοδοτικών συμβολαίων σύμφωνα με τις διατάξεις των άρθρων 12 παρ. 3 στοιχείο ζ’, 14 παρ. 1 στοιχείο ι’, 15 παρ. 4, 62 παρ. 1 στοιχείο ε’, 64 παρ. 1 στοιχείο ε’ και 72 παρ. 1 και 16 του ν. 4172/2013 και του άρθρου 5 στοιχεία α’, γ’ και ζ’ του ν. 4364/2016.</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Ειδικότερες ρυθμίσεις σχετικά με τους Χρηματοοικονομικούς Λογαριασμούςτων Κεντρικών Αποθετηρίων Τίτλων</w:t>
      </w:r>
    </w:p>
    <w:p>
      <w:pPr>
        <w:pStyle w:val="MainText"/>
        <w:spacing w:before="120" w:after="0"/>
        <w:rPr>
          <w:lang w:val="el" w:eastAsia="el"/>
        </w:rPr>
      </w:pPr>
      <w:r>
        <w:rPr>
          <w:b/>
          <w:bCs/>
          <w:lang w:val="el" w:eastAsia="el"/>
        </w:rPr>
        <w:t>1.</w:t>
      </w:r>
      <w:r>
        <w:rPr>
          <w:b/>
          <w:bCs/>
          <w:lang w:val="el" w:eastAsia="el"/>
        </w:rPr>
        <w:t xml:space="preserve"> Στην περίπτωση Χρηματοοικονομικών Λογαριασμών Θεματοφυλακής, κατά την έννοια του Κεφαλαίου Η’, Παράρτημα Ι, Τμήμα VIII, Ενότητα Γ’ παρ. 3 του ν. 4170/2013 και του άρθρου τρίτου, παρ. 1, Παράρτημα Ι, Τμήμα VIII, Ενότητα Γ’ παρ. 3 του ν.4428/2016 της Τράπεζας της Ελλάδος (που ενεργεί ως Κεντρικό Αποθετήριο Τίτλων) ή του Κεντρικού Αποθετηρίου Αξιών (Διαχειριστής του Συστήματος Άυλων Τίτλων), όπως ορίζεται στο άρθρο 1 του ν. 3756/2009, όπως κάθε φορά ισχύει, στους οποίους καταχωρίζονται τίτλοι που τηρούνται από ή μέσω ενός ή περισσότερων άλλων Δηλούντων Ελληνικών Χρηματοπιστωτικών Ιδρυμάτων, οι σχετικοί Χρηματοοικονομικοί Λογαριασμοί θεωρείται ότι τηρούνται από αυτά τα άλλα Δηλούντα Ελληνικά Χρηματοπιστωτικά Ιδρύματα, σύμφωνα με τα οριζόμενα στο Κεφάλαιο Η’, Παράρτημα ΙΙ, παρ. 4 περίπτ. α’ του ν. 4170/2013 και στο άρθρο τρίτο, παρ. 2, Παράρτημα ΙΙ, παρ. 4 περίπτ. α’ του ν. 4428/2016. Αυτά τα άλλα Δηλούντα Ελληνικά Χρηματοπιστωτικά Ιδρύματα ευθύνονται για οποιαδήποτε υποβολή στοιχείων απαιτείται σε σχέση με αυτούς τους Χρηματοοικονομικούς Λογαριασμούς σύμφωνα με τα οριζόμενα στο άρθρο 9 παρ. 1 περίπτ. β’ και στο Κεφάλαιο Η’, Παράρτημα Ι, Τμήμα ΙΙΙ, Ενότητα Β’ παρ. 5 και Ενότητα Γ’ παρ. 5 περίπτ. γ’ του ν. 4170/2013 και τα οριζόμενα στο άρθρο δεύτερο παρ. 3 υποπαρ. α’ και άρθρο τρίτο, παρ. 1, Παράρτημα Ι Τμήμα ΙΙΙ, Ενότητα Β’ παρ. 5 και Ενότητα Γ’ παρ. 5 περίπτ. γ’ του ν. 4428/2016.</w:t>
      </w:r>
    </w:p>
    <w:p>
      <w:pPr>
        <w:pStyle w:val="MainText"/>
        <w:spacing w:before="120" w:after="0"/>
        <w:rPr>
          <w:lang w:val="el" w:eastAsia="el"/>
        </w:rPr>
      </w:pPr>
      <w:r>
        <w:rPr>
          <w:b/>
          <w:bCs/>
          <w:lang w:val="el" w:eastAsia="el"/>
        </w:rPr>
        <w:t>2.</w:t>
      </w:r>
      <w:r>
        <w:rPr>
          <w:b/>
          <w:bCs/>
          <w:lang w:val="el" w:eastAsia="el"/>
        </w:rPr>
        <w:t xml:space="preserve"> Η Τράπεζα της Ελλάδος ή το Κεντρικό Αποθετήριο Αξιών, κατά περίπτωση, μπορεί να υποβάλλει στοιχεία για λογαριασμό των Δηλούντων Ελληνικών Χρηματοπιστωτικών Ιδρυμάτων της παρ. 1, σύμφωνα με τα οριζόμενα στο Κεφάλαιο Η’, Παράρτημα Ι, Τμήμα ΙΙ Ενότητα Γ’ του ν. 4170/2013 και στο άρθρο τρίτο, παρ. 1, Παράρτημα Ι, Τμήμα ΙΙ Ενότητα Δ’ του ν. 4428/2016.</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w:t>
      </w:r>
    </w:p>
    <w:p>
      <w:pPr>
        <w:spacing w:before="240" w:after="240"/>
        <w:rPr>
          <w:lang w:val="el" w:eastAsia="el"/>
        </w:rPr>
      </w:pPr>
      <w:r>
        <w:rPr>
          <w:b/>
          <w:bCs/>
          <w:lang w:val="el" w:eastAsia="el"/>
        </w:rPr>
        <w:t>(στην ηλεκτρονική διεύθυνση “webmaster.et@et.gr”), για δημοσίευση της απόφασης</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3.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4. Πίνακες Αποδεκτών: Α’ (με α/α 1) εκτός των ως άνω υπηρεσιών με α/α 2 και 3, Β’ (με α/α 4 και 5) και Γ’</w:t>
      </w:r>
    </w:p>
    <w:p>
      <w:pPr>
        <w:spacing w:before="240" w:after="240"/>
        <w:rPr>
          <w:lang w:val="el" w:eastAsia="el"/>
        </w:rPr>
      </w:pPr>
      <w:r>
        <w:rPr>
          <w:b/>
          <w:bCs/>
          <w:lang w:val="el" w:eastAsia="el"/>
        </w:rPr>
        <w:t>5. Τράπεζα της Ελλάδος</w:t>
      </w:r>
    </w:p>
    <w:p>
      <w:pPr>
        <w:spacing w:before="240" w:after="240"/>
        <w:rPr>
          <w:lang w:val="el" w:eastAsia="el"/>
        </w:rPr>
      </w:pPr>
      <w:r>
        <w:rPr>
          <w:b/>
          <w:bCs/>
          <w:lang w:val="el" w:eastAsia="el"/>
        </w:rPr>
        <w:t>6. Επιτροπή Κεφαλαιαγοράς</w:t>
      </w:r>
    </w:p>
    <w:p>
      <w:pPr>
        <w:spacing w:before="240" w:after="240"/>
        <w:rPr>
          <w:lang w:val="el" w:eastAsia="el"/>
        </w:rPr>
      </w:pPr>
      <w:r>
        <w:rPr>
          <w:b/>
          <w:bCs/>
          <w:lang w:val="el" w:eastAsia="el"/>
        </w:rPr>
        <w:t>7. Ελληνική Ένωση Τραπεζών</w:t>
      </w:r>
    </w:p>
    <w:p>
      <w:pPr>
        <w:spacing w:before="240" w:after="240"/>
        <w:rPr>
          <w:lang w:val="el" w:eastAsia="el"/>
        </w:rPr>
      </w:pPr>
      <w:r>
        <w:rPr>
          <w:b/>
          <w:bCs/>
          <w:lang w:val="el" w:eastAsia="el"/>
        </w:rPr>
        <w:t>8. Ένωση Ασφαλιστικών Εταιρειών Ελλάδος</w:t>
      </w:r>
    </w:p>
    <w:p>
      <w:pPr>
        <w:spacing w:before="240" w:after="240"/>
        <w:rPr>
          <w:lang w:val="el" w:eastAsia="el"/>
        </w:rPr>
      </w:pPr>
      <w:r>
        <w:rPr>
          <w:b/>
          <w:bCs/>
          <w:lang w:val="el" w:eastAsia="el"/>
        </w:rPr>
        <w:t>9. Ελληνική Ένωση Διαχειριστών Συλλογικών Επενδύσεων</w:t>
      </w:r>
    </w:p>
    <w:p>
      <w:pPr>
        <w:spacing w:before="240" w:after="240"/>
        <w:rPr>
          <w:lang w:val="el" w:eastAsia="el"/>
        </w:rPr>
      </w:pPr>
      <w:r>
        <w:rPr>
          <w:b/>
          <w:bCs/>
          <w:lang w:val="el" w:eastAsia="el"/>
        </w:rPr>
        <w:t>10. Σύνδεσμος Μελών Χρηματιστηρίου Αθηνών</w:t>
      </w:r>
    </w:p>
    <w:p>
      <w:pPr>
        <w:spacing w:before="240" w:after="240"/>
        <w:rPr>
          <w:lang w:val="el" w:eastAsia="el"/>
        </w:rPr>
      </w:pPr>
      <w:r>
        <w:rPr>
          <w:b/>
          <w:bCs/>
          <w:lang w:val="el" w:eastAsia="el"/>
        </w:rPr>
        <w:t>11. Όμιλος Χρηματιστηρίου Αθηνών</w:t>
      </w:r>
    </w:p>
    <w:p>
      <w:pPr>
        <w:spacing w:before="240" w:after="240"/>
        <w:rPr>
          <w:lang w:val="el" w:eastAsia="el"/>
        </w:rPr>
      </w:pPr>
      <w:r>
        <w:rPr>
          <w:b/>
          <w:bCs/>
          <w:lang w:val="el" w:eastAsia="el"/>
        </w:rPr>
        <w:t>12. Ένωση Συνεταιριστικών Τραπεζών</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κας.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κ. Γενικού Γραμματέα Πληροφοριακών Συστημάτων και Διοικητικής Υποστήριξης Υπουργείου Οικονομικών</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κ. Ειδικού Γραμματέα ΣΔΟΕ</w:t>
      </w:r>
    </w:p>
    <w:p>
      <w:pPr>
        <w:pStyle w:val="StructureList1"/>
        <w:spacing w:before="120" w:after="0"/>
        <w:rPr>
          <w:lang w:val="el" w:eastAsia="el"/>
        </w:rPr>
      </w:pPr>
      <w:r>
        <w:rPr>
          <w:b/>
          <w:bCs/>
          <w:lang w:val="el" w:eastAsia="el"/>
        </w:rPr>
        <w:t>ε)</w:t>
      </w:r>
      <w:r>
        <w:rPr>
          <w:b/>
          <w:bCs/>
          <w:lang w:val="en" w:eastAsia="en"/>
        </w:rPr>
        <w:tab/>
      </w:r>
      <w:r>
        <w:rPr>
          <w:b/>
          <w:bCs/>
          <w:lang w:val="el" w:eastAsia="el"/>
        </w:rPr>
        <w:t>Γραφείο κας. Γενικής Γραμματέως Οικονομικής Πολιτικής</w:t>
      </w:r>
    </w:p>
    <w:p>
      <w:pPr>
        <w:pStyle w:val="StructureList1"/>
        <w:spacing w:before="120" w:after="0"/>
        <w:rPr>
          <w:lang w:val="el" w:eastAsia="el"/>
        </w:rPr>
      </w:pPr>
      <w:r>
        <w:rPr>
          <w:b/>
          <w:bCs/>
          <w:lang w:val="el" w:eastAsia="el"/>
        </w:rPr>
        <w:t>στ)</w:t>
      </w:r>
      <w:r>
        <w:rPr>
          <w:b/>
          <w:bCs/>
          <w:lang w:val="en" w:eastAsia="en"/>
        </w:rPr>
        <w:tab/>
      </w:r>
      <w:r>
        <w:rPr>
          <w:b/>
          <w:bCs/>
          <w:lang w:val="el" w:eastAsia="el"/>
        </w:rPr>
        <w:t>Γραφείο Προϊσταμένου Γενικής Δ/νσης Οικονομικής Πολιτικής</w:t>
      </w:r>
    </w:p>
    <w:p>
      <w:pPr>
        <w:pStyle w:val="StructureList1"/>
        <w:spacing w:before="120" w:after="0"/>
        <w:rPr>
          <w:lang w:val="el" w:eastAsia="el"/>
        </w:rPr>
      </w:pPr>
      <w:r>
        <w:rPr>
          <w:b/>
          <w:bCs/>
          <w:lang w:val="el" w:eastAsia="el"/>
        </w:rPr>
        <w:t>ζ)</w:t>
      </w:r>
      <w:r>
        <w:rPr>
          <w:b/>
          <w:bCs/>
          <w:lang w:val="en" w:eastAsia="en"/>
        </w:rPr>
        <w:tab/>
      </w:r>
      <w:r>
        <w:rPr>
          <w:b/>
          <w:bCs/>
          <w:lang w:val="el" w:eastAsia="el"/>
        </w:rPr>
        <w:t>Δ/νση Χρηματοοικονομικής Πολιτικής</w:t>
      </w:r>
    </w:p>
    <w:p>
      <w:pPr>
        <w:pStyle w:val="StructureList1"/>
        <w:spacing w:before="120" w:after="0"/>
        <w:rPr>
          <w:lang w:val="el" w:eastAsia="el"/>
        </w:rPr>
      </w:pPr>
      <w:r>
        <w:rPr>
          <w:b/>
          <w:bCs/>
          <w:lang w:val="el" w:eastAsia="el"/>
        </w:rPr>
        <w:t>η)</w:t>
      </w:r>
      <w:r>
        <w:rPr>
          <w:b/>
          <w:bCs/>
          <w:lang w:val="en" w:eastAsia="en"/>
        </w:rPr>
        <w:tab/>
      </w:r>
      <w:r>
        <w:rPr>
          <w:b/>
          <w:bCs/>
          <w:lang w:val="el" w:eastAsia="el"/>
        </w:rPr>
        <w:t>Δ/νση Φορολογικής Πολιτικής</w:t>
      </w:r>
    </w:p>
    <w:p>
      <w:pPr>
        <w:pStyle w:val="StructureList1"/>
        <w:spacing w:before="120" w:after="0"/>
        <w:rPr>
          <w:lang w:val="el" w:eastAsia="el"/>
        </w:rPr>
      </w:pPr>
      <w:r>
        <w:rPr>
          <w:b/>
          <w:bCs/>
          <w:lang w:val="el" w:eastAsia="el"/>
        </w:rPr>
        <w:t>θ)</w:t>
      </w:r>
      <w:r>
        <w:rPr>
          <w:b/>
          <w:bCs/>
          <w:lang w:val="en" w:eastAsia="en"/>
        </w:rPr>
        <w:tab/>
      </w:r>
      <w:r>
        <w:rPr>
          <w:b/>
          <w:bCs/>
          <w:lang w:val="el" w:eastAsia="el"/>
        </w:rPr>
        <w:t>Δ/νση Ευρωπαϊκής Ένωσης και Διεθνών Σχέσεων</w:t>
      </w:r>
    </w:p>
    <w:p>
      <w:pPr>
        <w:pStyle w:val="StructureList1"/>
        <w:spacing w:before="120" w:after="0"/>
        <w:rPr>
          <w:lang w:val="el" w:eastAsia="el"/>
        </w:rPr>
      </w:pPr>
      <w:r>
        <w:rPr>
          <w:b/>
          <w:bCs/>
          <w:lang w:val="el" w:eastAsia="el"/>
        </w:rPr>
        <w:t>ι)</w:t>
      </w:r>
      <w:r>
        <w:rPr>
          <w:b/>
          <w:bCs/>
          <w:lang w:val="en" w:eastAsia="en"/>
        </w:rPr>
        <w:tab/>
      </w:r>
      <w:r>
        <w:rPr>
          <w:b/>
          <w:bCs/>
          <w:lang w:val="el" w:eastAsia="el"/>
        </w:rPr>
        <w:t>Μονάδα Εσωτερικού Ελέγχου</w:t>
      </w:r>
    </w:p>
    <w:p>
      <w:pPr>
        <w:spacing w:before="240" w:after="240"/>
        <w:rPr>
          <w:lang w:val="el" w:eastAsia="el"/>
        </w:rPr>
      </w:pPr>
      <w:r>
        <w:rPr>
          <w:b/>
          <w:bCs/>
          <w:lang w:val="el" w:eastAsia="el"/>
        </w:rPr>
        <w:t>2. Μόνιμη Ελληνική Αντιπροσωπεία (ΜΕΑ) στον ΟΟΣΑ</w:t>
      </w:r>
    </w:p>
    <w:p>
      <w:pPr>
        <w:spacing w:before="240" w:after="240"/>
        <w:rPr>
          <w:lang w:val="el" w:eastAsia="el"/>
        </w:rPr>
      </w:pPr>
      <w:r>
        <w:rPr>
          <w:b/>
          <w:bCs/>
          <w:lang w:val="el" w:eastAsia="el"/>
        </w:rPr>
        <w:t>3. Πίνακες Αποδεκτών: Α΄ (με α/α 2 έως 4), Β’ (με α/α 1 έως 3), Ζ΄ (με α/α 1, 3, 4 και 6), Η΄ (με α/α 1 έως 3 και 5 έως 9), Θ΄(με α/α 1 έως 10, 13 έως 15 και 17), Ι΄, ΙΑ΄ (με α/α 2 και 3), ΙΒ΄ (με α/α 2 έως 16),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Προϊσταμένους Γενικών Δ/νσεων της ΑΑΔΕ</w:t>
      </w:r>
    </w:p>
    <w:p>
      <w:pPr>
        <w:spacing w:before="240" w:after="240"/>
        <w:rPr>
          <w:lang w:val="el" w:eastAsia="el"/>
        </w:rPr>
      </w:pPr>
      <w:r>
        <w:rPr>
          <w:b/>
          <w:bCs/>
          <w:lang w:val="el" w:eastAsia="el"/>
        </w:rPr>
        <w:t>3. Φορολογική και Τελωνειακή Ακαδημία</w:t>
      </w:r>
    </w:p>
    <w:p>
      <w:pPr>
        <w:spacing w:before="240" w:after="240"/>
        <w:rPr>
          <w:lang w:val="el" w:eastAsia="el"/>
        </w:rPr>
      </w:pPr>
      <w:r>
        <w:rPr>
          <w:b/>
          <w:bCs/>
          <w:lang w:val="el" w:eastAsia="el"/>
        </w:rPr>
        <w:t>4. Δ/νσεις: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Νομικής Υποστήριξης</w:t>
      </w:r>
    </w:p>
    <w:p>
      <w:pPr>
        <w:pStyle w:val="StructureList1"/>
        <w:spacing w:before="120" w:after="0"/>
        <w:rPr>
          <w:lang w:val="el" w:eastAsia="el"/>
        </w:rPr>
      </w:pPr>
      <w:r>
        <w:rPr>
          <w:b/>
          <w:bCs/>
          <w:lang w:val="el" w:eastAsia="el"/>
        </w:rPr>
        <w:t>β)</w:t>
      </w:r>
      <w:r>
        <w:rPr>
          <w:b/>
          <w:bCs/>
          <w:lang w:val="en" w:eastAsia="en"/>
        </w:rPr>
        <w:tab/>
      </w:r>
      <w:r>
        <w:rPr>
          <w:b/>
          <w:bCs/>
          <w:lang w:val="el" w:eastAsia="el"/>
        </w:rPr>
        <w:t>Ελέγχων, Τμήμα Δ’</w:t>
      </w:r>
    </w:p>
    <w:p>
      <w:pPr>
        <w:pStyle w:val="StructureList1"/>
        <w:spacing w:before="120" w:after="0"/>
        <w:rPr>
          <w:lang w:val="el" w:eastAsia="el"/>
        </w:rPr>
      </w:pPr>
      <w:r>
        <w:rPr>
          <w:b/>
          <w:bCs/>
          <w:lang w:val="el" w:eastAsia="el"/>
        </w:rPr>
        <w:t>γ)</w:t>
      </w:r>
      <w:r>
        <w:rPr>
          <w:b/>
          <w:bCs/>
          <w:lang w:val="en" w:eastAsia="en"/>
        </w:rPr>
        <w:tab/>
      </w:r>
      <w:r>
        <w:rPr>
          <w:b/>
          <w:bCs/>
          <w:lang w:val="el" w:eastAsia="el"/>
        </w:rPr>
        <w:t>Ηλεκτρονικής Διακυβέρνησης, Τμήμα ΣΤ’</w:t>
      </w:r>
    </w:p>
    <w:p>
      <w:pPr>
        <w:pStyle w:val="StructureList1"/>
        <w:spacing w:before="120" w:after="0"/>
        <w:rPr>
          <w:lang w:val="el" w:eastAsia="el"/>
        </w:rPr>
      </w:pPr>
      <w:r>
        <w:rPr>
          <w:b/>
          <w:bCs/>
          <w:lang w:val="el" w:eastAsia="el"/>
        </w:rPr>
        <w:t>δ)</w:t>
      </w:r>
      <w:r>
        <w:rPr>
          <w:b/>
          <w:bCs/>
          <w:lang w:val="en" w:eastAsia="en"/>
        </w:rPr>
        <w:tab/>
      </w:r>
      <w:r>
        <w:rPr>
          <w:b/>
          <w:bCs/>
          <w:lang w:val="el" w:eastAsia="el"/>
        </w:rPr>
        <w:t>Διεθνών Οικονομικών Σχέσεων, Τμήματα Α’ και Γ’ (10)</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i/>
          <w:iCs/>
          <w:lang w:val="el" w:eastAsia="el"/>
        </w:rPr>
        <w:t xml:space="preserve">ΠΑΡΑΡΤΗΜΑ </w:t>
      </w:r>
      <w:r>
        <w:rPr>
          <w:b/>
          <w:bCs/>
          <w:i/>
          <w:iCs/>
          <w:lang w:val="el" w:eastAsia="el"/>
        </w:rPr>
        <w:t>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6246"/>
        <w:gridCol w:w="402"/>
        <w:gridCol w:w="758"/>
        <w:gridCol w:w="1501"/>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ΠΡΟΣΔΙΟΡΙΣΜΟΣ ΜΗ ΔΗΛΟΥΝΤΩΝ ΧΡΗΜΑΤΟΠΙΣΤΩΤΙΚΩΝ ΙΔΡΥΜΑΤΩΝ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Αρχή εποπτείας: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μια ημερομηνία.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ΠΡΟΣΔΙΟΡΙΣΜΟΣ ΜΗ ΔΗΛΟΥΝΤΟΣ ΧΡΗΜΑΤΟΠΙΣΤΩΤΙΚΟΥ ΙΔΡΥΜΑΤΟΣ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της Οντότητας: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Μεταγραφή της επωνυμίας της Οντότητας στο λατινικό αλφάβητο: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Μετάφραση της επωνυμίας της Οντότητας στην αγγλική ή γαλλική γλώσσα (εάν εφαρμόζεται):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ΒΗΜΑ 1: ΕΠΙΒΕΒΑΙΩΣΗ ΤΟΥ ΧΑΡΑΚΤΗΡΙΣΜΟΥ ΤΗΣ ΟΝΤΟΤΗΤΑΣ ΩΣ ΧΡΗΜΑΤΟΠΙΣΤΩΤΙΚΟΥ ΙΔΡΥΜΑΤΟΣ (σημειώστε καταλλήλως)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‘Ίδρυμα Καταθέσεων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Ίδρυμα Θεματοφυλακής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Επενδυτική Οντότητα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Καθορισμένη Ασφαλιστική Εταιρεία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Παρακαλούμε εισάγετε σχετικές πληροφορίες ή/και παραπομπές για την τεκμηρίωση του ανωτέρω χαρακτηρισμού:</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ΒΗΜΑ 2: ΠΡΟΣΔΙΟΡΙΣΜΟΣ ΤΟΥ ΕΑΝ ΤΟ ΧΡΗΜΑΤΟΠΙΣΤΩΤΙΚΟ ΙΔΡΥΜΑ ΠΑΡΟΥΣΙΑΖΕΙ ΧΑΜΗΛΟ ΚΙΝΔΥΝΟ ΝΑ ΧΡΗΣΙΜΟΠΟΙΗΘΕΙ ΓΙΑ ΦΟΡΟΔΙΑΦΥΓΗ (σημειώστε καταλλήλως)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Παράγοντας χαμηλού κινδύνου: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Χρηματοπιστωτικό Ίδρυμα υπόκειται σε ρύθμιση: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Χρηματοπιστωτικό Ίδρυμα απαιτείται να διαβιβάζει προς τις φορολογικές αρχές, πληροφορίες σε ό, τι αφορά τους Δικαιούχους Λογαριασμού:</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Χρηματοπιστωτικό Ίδρυμα παρουσιάζει χαμηλό κίνδυνο να χρησιμοποιηθεί για φοροδιαφυγή για άλλους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61"/>
        <w:gridCol w:w="1995"/>
        <w:gridCol w:w="911"/>
        <w:gridCol w:w="911"/>
        <w:gridCol w:w="911"/>
        <w:gridCol w:w="911"/>
        <w:gridCol w:w="26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λόγους: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περίπτωση επιλογής του σημείου 3, παρακαλούμε προσδιορίστε αυτούς τους λόγους: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Παρακαλούμε εισάγετε σχετικές πληροφορίες και / ή παραπομπές για την τεκμηρίωση της υπαγωγής του Χρηματοπιστωτικού Ιδρύματος σε ρύθμιση ή/και σε διαβίβαση πληροφοριών προς τις φορολογικές αρχές: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ΒΗΜΑ 3α ΚΑΙ 3β:</w:t>
            </w:r>
          </w:p>
          <w:p>
            <w:pPr>
              <w:spacing w:before="240" w:after="240"/>
              <w:rPr>
                <w:b w:val="0"/>
                <w:bCs w:val="0"/>
                <w:i w:val="0"/>
                <w:iCs w:val="0"/>
                <w:smallCaps w:val="0"/>
                <w:color w:val="000000"/>
                <w:lang w:val="el" w:eastAsia="el"/>
              </w:rPr>
            </w:pPr>
            <w:r>
              <w:rPr>
                <w:b/>
                <w:bCs/>
                <w:i w:val="0"/>
                <w:iCs w:val="0"/>
                <w:smallCaps w:val="0"/>
                <w:color w:val="000000"/>
                <w:lang w:val="el" w:eastAsia="el"/>
              </w:rPr>
              <w:t>Προσδιορίστε σε ποια κατηγορία Μη Δηλούντος Χρηματοπιστωτικού Ιδρύματος όπως προβλέπεται από το Πρότυπο στις υποπαραγράφους Β(1) του Τμήματος VIII αντιστοιχούν κάποια από τα χαρακτηριστικά της Οντότητας (Επιλέξτε από τον καταρράκτη «Ουσιωδώς παρεμφερή χαρακτηριστικά με:»).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Προσδιορίστε αυτά τα χαρακτηριστικά και σημειώστε τα με την ένδειξη « Πληρούται» ή σημειώστε τα χαρακτηριστικά της Οντότητας που δεν αντιστοιχούν στα χαρακτηριστικά ενός Μη Δηλούντος Χρηματοπιστωτικού Ιδρύματος όπως προβλέπονται από το Πρότυπο με την ένδειξη «Δεν πληρούται».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Εξηγήστε τον λόγο για τον οποίο τα χαρακτηριστικά ικανοποιούνται ή υποδείξτε υποκατάστατα χαρακτηριστικά της Οντότητας που διασφαλίζουν ένα ισοδύναμο επίπεδο χαμηλού κινδύνου.</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Ουσιωδώς παρεμφερή χαρακτηριστικά με (επιλέξτε μία μόνο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2</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Χρηματοπιστωτικό Ίδρυμα που είναι Κρατική Οντότητα: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της Οντότητας που διασφαλίζουν ένα ισοδύναμο επίπεδο χαμηλού κινδύνου, εάν τα χαρακτηριστικά δεν πληρούνται.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 κυβέρ άλλης πολιτι μέλου (που, αμφιβ τα κρ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 ΑΠΑΙΤΗΣΗ) Η νηση κράτους μέλους ή δικαιοδοσίας, κάθε κή υποδιαίρεση κράτους ς ή άλλης δικαιοδοσίας για την αποφυγή ολιών, καλύπτει ως όρος άτη, τις επαρχίες, τις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U</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2"/>
        <w:gridCol w:w="46"/>
        <w:gridCol w:w="1823"/>
        <w:gridCol w:w="1823"/>
        <w:gridCol w:w="266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περιφέρειες και τους δήμους), όχι όμως όσον αφορά πληρωμή προκύπτουσα από υποχρέωση που έχει αναληφθεί σε σχέση με εμπορική χρηματοπιστωτική δραστηριότητα ανήκουσα σε είδος δραστηριότητας που ασκείται από καθορισμένη ασφαλιστική εταιρεία, ίδρυμα θεματοφυλακής ή ίδρυμα καταθέσεων.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Β.2(α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Χρηματοπιστωτικό Ίδρυμα που είναι Κρατική Οντότητα (συνιστών μέρος):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Ως “συνιστών μέρος” κράτους μέλους ή άλλης δικαιοδοσίας νοείται κάθε πρόσωπο, οργανισμός, υπηρεσία, γραφείο, ταμείο, όργανο ή άλλος φορέας, ανεξαρτήτως ονομασίας, που αποτελεί διοικούσα αρχή στο κράτος μέλος ή τη δικαιοδοσία, όχι όμως όσον αφορά πληρωμή προκύπτουσα από υποχρέωση που έχει αναληφθεί σε σχέση με εμπορική χρηματοπιστωτική δραστηριότητα ανήκουσα σε είδος δραστηριότητας που ασκείται από καθορισμένη ασφαλιστική εταιρεία, ίδρυμα θεματοφυλακής ή ίδρυμα καταθέσεων.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9"/>
        <w:gridCol w:w="1567"/>
        <w:gridCol w:w="990"/>
        <w:gridCol w:w="1669"/>
        <w:gridCol w:w="1667"/>
        <w:gridCol w:w="2"/>
        <w:gridCol w:w="2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καθαρά έσοδα της διοικούσας αρχής πρέπει να πιστώνονται στον λογαριασμό της ή στους λογαριασμούς του κράτους μέλους ή της δικαιοδοσίας και κανένα μερίδιό τους δεν πρέπει να καταλήγει προς όφελος ιδιώτη. Το εισόδημα δεν θεωρείται ότι καταλήγει προς όφελος ιδιωτών εάν τα πρόσωπα αυτά είναι οι προβλεπόμενοι δικαιούχοι κρατικού προγράμματος και οι δραστηριότητες του προγράμματος εκτελούνται υπέρ της κοινής ωφέλειας του γενικού πληθυσμού ή αφορούν τη διαχείριση ορισμένης πτυχής της διακυβέρνησης. Ωστόσο, κατά παρέκκλιση των ανωτέρω, το εισόδημα θεωρείται ότι καταλήγει προς όφελος ιδιωτών εάν προκύπτει από τη χρήση Κρατικής Οντότητας για την άσκηση εμπορικών δραστηριοτήτων, όπως, παραδείγματος χάρη, εμπορικών τραπεζικών δραστηριοτήτων, μέσω των οποίων παρέχονται χρηματοοικονομικές υπηρεσίες σε ιδιώτες.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Στον όρο “συνιστών μέρος” δεν περιλαμβάνονται φυσικά πρόσωπα ασκούντα εξουσία ή κατέχοντα επίσημες ή διοικητικές θέσεις τα οποία ενεργούν ως ιδιώτες ή υπό την προσωπική τους ιδιότητα.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Β.2(β)</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Χρηματοπιστωτικό Ίδρυμα που είναι Κυβερνητική Οντότητα (ελεγχόμενη οντότητα):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
        <w:gridCol w:w="374"/>
        <w:gridCol w:w="2358"/>
        <w:gridCol w:w="1669"/>
        <w:gridCol w:w="1669"/>
        <w:gridCol w:w="23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διασφαλίζουν ένα ισοδύναμο επίπεδο χαμηλού κινδύνου, εάν τα χαρακτηριστικά δεν πληρούνται.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“ελεγχόμ κάθε οντ διακριτή από το κ δικαιοδο διακριτή όμως όσ προκύπτ που έχει με εμπο δραστηρ είδος δρ ασκείται ασφαλισ θεματοφ καταθέσ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ΑΠΑΙΤΗΣΗ) Ως ενη οντότητα” νοείται ότητα που είναι ως προς τη μορφή της ράτος μέλος ή τη σία ή συνιστά άλλως νομική οντότητα, όχι ον αφορά πληρωμή ουσα από υποχρέωση αναληφθεί σε σχέση ική χρηματοπιστωτική ιότητα ανήκουσα σε αστηριότητας που από καθορισμένη τική εταιρεία, ίδρυμα υλακής ή ίδρυμα 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οντότητα τελεί υπό την πλήρη κυριότητα και τον πλήρη έλεγχο μιας ή περισσοτέρων κρατικών οντοτήτων είτε άμεσα είτε μέσω μιας ή περισσοτέρων ελεγχόμενων οντοτήτων.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καθαρά έσοδα της οντότητας πιστώνονται στον λογαριασμό της ή στους λογαριασμούς μιας ή περισσοτέρων κρατικών οντοτήτων και κανένα μερίδιό του εισοδήματός της δεν καταλήγει προς όφελος ιδιώτη. Το εισόδημα δεν θεωρείται ότι καταλήγει προς όφελος ιδιωτών εάν τα πρόσωπα αυτά είναι οι προβλεπόμενοι δικαιούχοι κρατικού προγράμματος και οι δραστηριότητες του προγράμματος εκτελούνται υπέρ της κοινής ωφέλειας του γενικού πληθυσμού ή αφορούν τη διαχείριση ορισμένης πτυχής της διακυβέρνησης. Ωστόσο,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1320"/>
        <w:gridCol w:w="1319"/>
        <w:gridCol w:w="1722"/>
        <w:gridCol w:w="1722"/>
        <w:gridCol w:w="25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παρέκκλιση των ανωτέρω, το εισόδημα θεωρείται ότι καταλήγει προς όφελος ιδιωτών εάν προκύπτει από τη χρήση Κρατικής Οντότητας για την άσκηση εμπορικών δραστηριοτήτων, όπως, παραδείγματος χάρη, εμπορικών τραπεζικών δραστηριοτήτων, μέσω των οποίων παρέχονται χρηματοοικονομικές υπηρεσίες σε ιδιώτες.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με τη διάλυσή της, τα περιουσιακά στοιχεία της οντότητας περιέρχονται σε μια ή περισσότερες κρατικές οντότητες.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Χρηματοπιστωτικό Ίδρυμα που είναι Διεθνής Οργανισμός: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Διεθνής οργανισμός (συμπεριλαμβανομένων των υπερεθνικών) ή υπηρεσία ή όργανο που τελεί υπό την πλήρη κυριότητα αυτού, όχι όμως όσον αφορά πληρωμή προκύπτουσα από υποχρέωση που έχει αναληφθεί σε σχέση με εμπορική χρηματοπιστωτική δραστηριότητα ανήκουσα σε είδος δραστηριότητας που ασκείται από καθορισμένη ασφαλιστική εταιρεία, ίδρυμα θεματοφυλακής ή ίδρυμα καταθέσεων.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9"/>
        <w:gridCol w:w="2308"/>
        <w:gridCol w:w="1823"/>
        <w:gridCol w:w="1823"/>
        <w:gridCol w:w="26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απαρτίζεται κατά κύριο λόγο από κυβερνήσεις·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έχει συνάψει συμφωνία έδρας ή παρεμφερή επί της ουσίας συμφωνία με το κράτος μέλος ή τη δικαιοδοσία·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οποίου το εισόδημα δεν καταλήγει προς όφελος 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Χρηματοπιστωτικό Ίδρυμα που είναι Κεντρική Τράπεζα: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Ίδρυμα το οποίο, είτε διά νόμου είτε με την έγκριση της κυβέρνησης, αποτελεί, εκτός από την κυβέρνηση του κράτους μέλους ή της δικαιοδοσίας αυτή καθεαυτή, την κύρια αρχή έκδοσης μέσων προοριζόμενων να κυκλοφορήσουν ως νόμισμα, όχι όμως όσον αφορά πληρωμή προκύπτουσα από υποχρέωση που έχει αναληφθεί σε σχέση με εμπορική χρηματοπιστωτική δραστηριότητα ανήκουσα σε είδος δραστηριότητας που ασκείται από καθορισμένη ασφαλιστική εταιρεία, ίδρυμα θεματοφυλακής ή ίδρυμα καταθέσεων. Στα ιδρύματα αυτά μπορεί να περιλαμβάνονται όργανα διακριτά από την κυβέρνηση του κράτους μέλους ή της δικαιοδοσίας, είτε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7"/>
        <w:gridCol w:w="1288"/>
        <w:gridCol w:w="637"/>
        <w:gridCol w:w="1750"/>
        <w:gridCol w:w="1750"/>
        <w:gridCol w:w="256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βρίσκονται υπό την πλήρη ή μερική κυριότητα του κράτους μέλους ή της δικαιοδοσίας είτε 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Β.5(γ)(i)</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Συνταξιοδοτικό Ταμείο Ευρείας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Το ταμείο συνιστάται για να χορηγεί παροχές σύνταξης, αναπηρίας ή θανάτου ή συνδυασμό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Οι δικαιούχοι είναι εν ενεργεία ή πρώην εργαζόμενοι (ή πρόσωπα οριζόμενα από τους εργαζομένους αυτούς) σε έναν ή περισσότερους εργοδότες, ως αντάλλαγμα για παρασχεθείσες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έχει δικαιούχο με δικαίωμα επί των περιουσιακών στοιχείων του ταμείου που να υπερβαίνει το 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Υπόκειται σε κρατική κανονιστική ρύθμιση και υποβάλλει δηλώσεις πληροφοριών στις φορολογικές αρχές,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3"/>
        <w:gridCol w:w="15"/>
        <w:gridCol w:w="1175"/>
        <w:gridCol w:w="1175"/>
        <w:gridCol w:w="1823"/>
        <w:gridCol w:w="1823"/>
        <w:gridCol w:w="26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w:t>
            </w:r>
          </w:p>
          <w:p>
            <w:pPr>
              <w:spacing w:before="240"/>
              <w:rPr>
                <w:b w:val="0"/>
                <w:bCs w:val="0"/>
                <w:i w:val="0"/>
                <w:iCs w:val="0"/>
                <w:smallCaps w:val="0"/>
                <w:color w:val="000000"/>
                <w:lang w:val="el" w:eastAsia="el"/>
              </w:rPr>
            </w:pPr>
            <w:r>
              <w:rPr>
                <w:b/>
                <w:bCs/>
                <w:i w:val="0"/>
                <w:iCs w:val="0"/>
                <w:smallCaps w:val="0"/>
                <w:color w:val="000000"/>
                <w:lang w:val="el" w:eastAsia="el"/>
              </w:rPr>
              <w:t>(i)</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ταμείο απαλλάσσεται γενικά από φόρους επί του εισοδήματός του που προέρχεται από επενδύσεις ή στο εισόδημα αυτό επιβάλλεται αναβαλλόμενος φόρος ή φόρος με μειωμένο συντελεστή, επειδή πρόκειται για συνταξιοδοτικό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B.5(γ)(ii)</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Συνταξιοδοτικό Ταμείο Ευρείας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Το ταμείο συνιστάται για να χορηγεί παροχές σύνταξης, αναπηρίας ή θανάτου ή συνδυασμό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Οι δικαιούχοι είναι εν ενεργεία ή πρώην εργαζόμενοι (ή πρόσωπα οριζόμενα από τους εργαζομένους αυτούς) σε έναν ή περισσότερους εργοδότες, ως αντάλλαγμα για παρασχεθείσες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έχει δικαιούχο με δικαίωμα επί των περιουσιακών στοιχείων του ταμείου που να υπερβαίνει το 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5"/>
        <w:gridCol w:w="1434"/>
        <w:gridCol w:w="919"/>
        <w:gridCol w:w="1717"/>
        <w:gridCol w:w="1717"/>
        <w:gridCol w:w="25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Υπόκειται σε κρατική κανονιστική ρύθμιση και υποβάλλει δηλώσεις πληροφοριών στις φορολογικές αρχές,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(γ)(ii)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ταμείο λαμβάνει από τους εργοδότες που το χρηματοδοτούν τουλάχιστον το 50 % των συνολικών εισφορών του [πλην μεταφορών περιουσιακών στοιχείων από άλλα προγράμματα περιγραφόμενα στην ενότητα Β παράγραφοι 5 έως 7 ή από συνταξιοδοτικούς λογαριασμούς περιγραφόμενους στην ενότητα Γ παράγραφος 17 στοιχείο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Β.5(γ) (iii)</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Συνταξιοδοτικό Ταμείο Ευρείας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Το ταμείο συνιστάται για να χορηγεί παροχές σύνταξης, αναπηρίας ή θανάτου ή συνδυασμό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Οι δικαιούχοι είναι εν ενεργεία ή πρώην εργαζόμενοι (ή πρόσωπα οριζόμενα από τους εργαζομένους αυτούς) σε έναν ή περισσότερους εργοδότες, ως αντάλλαγμα για παρασχεθείσες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3"/>
        <w:gridCol w:w="2774"/>
        <w:gridCol w:w="1778"/>
        <w:gridCol w:w="1777"/>
        <w:gridCol w:w="18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έχει δικαιούχο με δικαίωμα επί των περιουσιακών στοιχείων του ταμείου που να υπερβαίνει το 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Υπόκειται σε κρατική κανονιστική ρύθμιση και υποβάλλει δηλώσεις πληροφοριών στις φορολογικές αρχές,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ή ανάληψη ποσών από το ταμείο επιτρέπεται μόνο όταν επέρχονται συγκεκριμένα περιστατικά σχετιζόμενα με συνταξιοδότηση, αναπηρία ή θάνατο [πλην διανεμόμενων ποσών που επανατοποθετούνται σε άλλα συνταξιοδοτικά ταμεία περιγραφόμενα στην ενότητα B παράγραφοι 5 έως 7 ή σε συνταξιοδοτικούς λογαριασμούς περιγραφόμενους στην ενότητα Γ παράγραφος 17 στοιχείο α)]· διαφορετικά, εάν η διανομή ή η ανάληψη πραγματοποιηθεί πριν από τα οριζόμενα αυτά περιστατικά, επιβαρύνεται με ποινή·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Β.5(γ) Συνταξιοδοτικό Ταμείο Ευρείας Συμμετοχής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3"/>
        <w:gridCol w:w="1202"/>
        <w:gridCol w:w="1202"/>
        <w:gridCol w:w="1700"/>
        <w:gridCol w:w="1700"/>
        <w:gridCol w:w="24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Το ταμείο συνιστάται για να χορηγεί παροχές σύνταξης, αναπηρίας ή θανάτου ή συνδυασμό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Οι δικαιούχοι είναι εν ενεργεία ή πρώην εργαζόμενοι (ή πρόσωπα οριζόμενα από τους εργαζομένους αυτούς) σε έναν ή περισσότερους εργοδότες, ως αντάλλαγμα για παρασχεθείσες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έχει δικαιούχο με δικαίωμα επί των περιουσιακών στοιχείων του ταμείου που να υπερβαίνει το 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Υπόκειται σε κρατική κανονιστική ρύθμιση και υποβάλλει δηλώσεις πληροφοριών στις φορολογικές αρχές,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(γ)(iv)</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Oι εισφορές (πλην ορισμένων επιτρεπόμενων συμπληρωματικών εισφορών) των εργαζομένων στο ταμείο περιορίζονται σε συνάρτηση με το δεδουλευμένο εισόδημα του εργαζομένου ή δεν επιτρέπεται να υπερβούν ετησίως ποσό εκφρασμένο στο εθνικό νόμισμα κάθε κράτους μέλους ή δικαιοδοσίας που αντιστοιχεί σε 50 000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9"/>
        <w:gridCol w:w="1147"/>
        <w:gridCol w:w="1959"/>
        <w:gridCol w:w="188"/>
        <w:gridCol w:w="1429"/>
        <w:gridCol w:w="1617"/>
        <w:gridCol w:w="236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εφαρμοζομένων των κανόνων που ορίζονται στο τμήμα VII ενότητα Γ για την άθροιση των λογαριασμών και τη μετατροπή νομισμάτων.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Β.6</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Συνταξιοδοτικό Ταμείο Περιορισμένης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Το ταμείο συνιστάται για να χορηγεί παροχές σύνταξης, αναπηρίας ή θανάτου.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Οι δικαιούχοι είναι εν ενεργεία ή πρώην εργαζόμενοι (ή πρόσωπα οριζόμενα από τους εργαζομένους αυτούς) σε έναν ή περισσότερους εργοδότες,) ως αντάλλαγμα για παρασχεθείσες υπηρεσίες.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ταμείο έχει λιγότερους από 50 συμμετέχοντες·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ταμείο χρηματοδοτείται από έναν ή περισσότερους εργοδότες που δεν είναι επενδυτικές οντότητες ή παθητικές ΜΧΟ·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8"/>
        <w:gridCol w:w="1537"/>
        <w:gridCol w:w="835"/>
        <w:gridCol w:w="1731"/>
        <w:gridCol w:w="1730"/>
        <w:gridCol w:w="25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εισφορές των εργαζομένων και των εργοδοτών στο ταμείο [πλην μεταφορών περιουσιακών στοιχείων από συνταξιοδοτικούς λογαριασμούς περιγραφόμενους στην ενότητα Γ παράγραφος 17 στοιχείο α)] περιορίζονται σε συνάρτηση με το δεδουλευμένο εισόδημα και την αμοιβή του εργαζομένου, αντιστοίχως·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συμμετέχοντες που δεν είναι κάτοικοι του κράτους μέλους ή της δικαιοδοσίας όπου έχει την έδρα του το ταμείο δεν έχουν δικαίωμα επί των περιουσιακών στοιχείων του ταμείου που να υπερβαίνει το 20 %,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ταμείο υπόκειται σε κρατική κανονιστική ρύθμιση και υποβάλλει πληροφορίες στις φορολογικές αρχές.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Β.7(i)</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Συνταξιοδοτικό Ταμείο Κρατικής 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w:t>
            </w:r>
          </w:p>
          <w:p>
            <w:pPr>
              <w:spacing w:before="240"/>
              <w:rPr>
                <w:b w:val="0"/>
                <w:bCs w:val="0"/>
                <w:i w:val="0"/>
                <w:iCs w:val="0"/>
                <w:smallCaps w:val="0"/>
                <w:color w:val="000000"/>
                <w:lang w:val="el" w:eastAsia="el"/>
              </w:rPr>
            </w:pPr>
            <w:r>
              <w:rPr>
                <w:b/>
                <w:bCs/>
                <w:i w:val="0"/>
                <w:iCs w:val="0"/>
                <w:smallCaps w:val="0"/>
                <w:color w:val="000000"/>
                <w:lang w:val="el" w:eastAsia="el"/>
              </w:rPr>
              <w:t>χαρακτηριστικά που διασφαλίζουν ένα ισοδύναμο επίπεδο χαμηλού κινδύνου, εάν τα χαρακτηριστικά δεν πληρούνται.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3"/>
        <w:gridCol w:w="44"/>
        <w:gridCol w:w="1823"/>
        <w:gridCol w:w="1823"/>
        <w:gridCol w:w="266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Το ταμείο συνιστάται από Κρατική Οντότητα.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Χορηγεί παροχές σύνταξης, αναπηρίας ή θανάτου.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Οι δικαιούχοι ή συμμετέχοντες που είναι εν ενεργεία ή πρώην εργαζόμενοι (ή πρόσωπα οριζόμενα από τους εργαζομένους αυτούς) ή που δεν είναι εν ενεργεία ή πρώην εργαζόμενοι, εάν οι παροχές προς τους δικαιούχους ή τους συμμετέχοντες αυτούς χορηγούνται ως αντάλλαγμα για προσωπικές υπηρεσίες που παρασχέθηκαν για την Κρατική Οντότητα.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Β.7(ii)</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Συνταξιοδοτικό Ταμείο Διεθνούς Οργανισμού: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Το ταμείο συνιστάται από Διεθνή Οργανισμό.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5"/>
        <w:gridCol w:w="37"/>
        <w:gridCol w:w="15"/>
        <w:gridCol w:w="1823"/>
        <w:gridCol w:w="1823"/>
        <w:gridCol w:w="266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Χορηγεί παροχές σύνταξης, αναπηρίας ή θανάτου.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Οι δικαιούχοι ή συμμετέχοντες που είναι εν ενεργεία ή πρώην εργαζόμενοι (ή πρόσωπα οριζόμενα από τους εργαζομένους αυτούς) ή που δεν είναι εν ενεργεία ή πρώην εργαζόμενοι, εάν οι παροχές προς τους δικαιούχους ή τους συμμετέχοντες αυτούς χορηγούνται ως αντάλλαγμα για προσωπικές υπηρεσίες που παρασχέθηκαν για τον Διεθνή Οργανισμό.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Β.7(iii)</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Συνταξιοδοτικό Ταμείο Κεντρικής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Το ταμείο συνιστάται από Κεντρική Τράπεζα.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Χορηγεί παροχές σύνταξης, αναπηρίας ή θανάτου.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05"/>
        <w:gridCol w:w="1942"/>
        <w:gridCol w:w="1823"/>
        <w:gridCol w:w="1823"/>
        <w:gridCol w:w="266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Οι δικαιούχοι ή συμμετέχοντες που είναι εν ενεργεία ή πρώην εργαζόμενοι (ή πρόσωπα οριζόμενα από τους εργαζομένους αυτούς) ή που δεν είναι εν ενεργεία ή πρώην εργαζόμενοι, εάν οι παροχές προς τους δικαιούχους ή τους συμμετέχοντες αυτούς χορηγούνται ως αντάλλαγμα για προσωπικές υπηρεσίες που παρασχέθηκαν για την Κεντρική Τράπεζα.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Β.8</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Εγκεκριμένος Εκδότης Πιστωτικών Καρτών: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 Χρημ αποτε Χρημ απλώ είναι ε καρτώ καταθ πελάτ που υ χρεωσ κάρτα πλεον επιστ πελάτ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ΚΗ ΑΠΑΙΤΗΣΗ) Το τοπιστωτικό Ίδρυμα λεί</w:t>
            </w:r>
          </w:p>
          <w:p>
            <w:pPr>
              <w:spacing w:before="240"/>
              <w:rPr>
                <w:b w:val="0"/>
                <w:bCs w:val="0"/>
                <w:i w:val="0"/>
                <w:iCs w:val="0"/>
                <w:smallCaps w:val="0"/>
                <w:color w:val="000000"/>
                <w:lang w:val="el" w:eastAsia="el"/>
              </w:rPr>
            </w:pPr>
            <w:r>
              <w:rPr>
                <w:b w:val="0"/>
                <w:bCs w:val="0"/>
                <w:i w:val="0"/>
                <w:iCs w:val="0"/>
                <w:smallCaps w:val="0"/>
                <w:color w:val="000000"/>
                <w:lang w:val="el" w:eastAsia="el"/>
              </w:rPr>
              <w:t>τοπιστωτικό Ίδρυμα ς και μόνον επειδή κδότης πιστωτικών ν ο οποίος δέχεται έσεις μόνον όταν ο ης καταβάλλει ποσό περβαίνει το τικό υπόλοιπο της ς και το καταβληθέν άζον ποσό δεν έφεται αμέσως στον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4"/>
        <w:gridCol w:w="1823"/>
        <w:gridCol w:w="1823"/>
        <w:gridCol w:w="16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Από ή πριν από την 1η Ιανουαρίου 2016, το Χρηματοπιστωτικό Ίδρυμα εφαρμόζει πολιτικές και διαδικασίες ώστε είτε να μη δύναται ο πελάτης να καταβάλει πλεονάζον ποσό που να υπερβαίνει ποσό εκφρασμένο στο εθνικό νόμισμα του κάθε κράτους μέλους ή της δικαιοδοσίας που αντιστοιχεί σε 50 000 δολάρια ΗΠΑ, είτε να επιστρέφεται στον πελάτη εντός 60 ημερών κάθε καταβληθέν πλεονάζον ποσό που υπερβαίνει το εν λόγω ποσό, εφαρμοζομένων σε αμφότερες τις περιπτώσεις των κανόνων που ορίζονται στο τμήμα VII ενότητα Γ για την άθροιση λογαριασμών και τη μετατροπή νομισμάτων. Για τους σκοπούς του προηγούμενου εδαφίου, το καταβληθέν από τον πελάτη πλεονάζον ποσό δεν αναφέρεται σε πιστωτικά υπόλοιπα στον βαθμό που αυτά σχετίζονται με αμφισβητηθείσες χρεώσεις, αλλά περιλαμβάνει πιστωτικά υπόλοιπα που προκύπτουν από επιστροφές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spacing w:before="240" w:after="240"/>
        <w:rPr>
          <w:lang w:val="el" w:eastAsia="el"/>
        </w:rPr>
      </w:pPr>
      <w:r>
        <w:rPr>
          <w:b/>
          <w:bCs/>
          <w:lang w:val="el" w:eastAsia="el"/>
        </w:rPr>
        <w:t>ΒΗΜΑ 4: ΥΠΟΔΕΙΞΤΕ ΤΗ ΣΧΕΤΙΚΗ ΔΙΑΤΑΞΗ ΔΥΝΑΜΕΙ ΤΗΣ ΟΠΟΙΑΣ Η ΟΝΤΟΤΗΤΑ</w:t>
      </w:r>
    </w:p>
    <w:p>
      <w:pPr>
        <w:spacing w:before="240" w:after="240"/>
        <w:rPr>
          <w:lang w:val="el" w:eastAsia="el"/>
        </w:rPr>
      </w:pPr>
      <w:r>
        <w:rPr>
          <w:b/>
          <w:bCs/>
          <w:lang w:val="el" w:eastAsia="el"/>
        </w:rPr>
        <w:t>ΕΧΕΙ ΧΑΡΑΚΤΗΡΙΣΤΕΙ ΩΣ ΧΑΜΗΛΟΥ ΚΙΝΔΥΝΟΥ ΜΗ ΔΗΛΟΥΝΧΡΗΜΑΤΟΠΙΣΤΩΤΙΚΟ ΙΔΡΥΜΑ ΣΤΗΝ ΕΣΩΤΕΡΙΚΗ ΝΟΜΟΘΕΣΙΑ</w:t>
      </w:r>
    </w:p>
    <w:p>
      <w:pPr>
        <w:spacing w:before="240" w:after="240"/>
        <w:rPr>
          <w:lang w:val="el" w:eastAsia="el"/>
        </w:rPr>
      </w:pPr>
      <w:r>
        <w:rPr>
          <w:b/>
          <w:bCs/>
          <w:lang w:val="el" w:eastAsia="el"/>
        </w:rPr>
        <w:t>26</w:t>
      </w:r>
    </w:p>
    <w:p>
      <w:pPr>
        <w:spacing w:before="240" w:after="240"/>
        <w:rPr>
          <w:lang w:val="el" w:eastAsia="el"/>
        </w:rPr>
      </w:pPr>
      <w:r>
        <w:rPr>
          <w:b/>
          <w:bCs/>
          <w:i/>
          <w:iCs/>
          <w:lang w:val="el" w:eastAsia="el"/>
        </w:rPr>
        <w:t xml:space="preserve">ΠΑΡΑΡΤΗΜΑ </w:t>
      </w:r>
      <w:r>
        <w:rPr>
          <w:b/>
          <w:bCs/>
          <w:i/>
          <w:iCs/>
          <w:lang w:val="el" w:eastAsia="el"/>
        </w:rPr>
        <w:t>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44"/>
        <w:gridCol w:w="3613"/>
        <w:gridCol w:w="574"/>
        <w:gridCol w:w="1672"/>
        <w:gridCol w:w="165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ΠΡΟΣΔΙΟΡΙΣΜΟΣ ΕΞΑΙΡΟΥΜΕΝΟΥ ΛΟΓΑΡΙΑΣΜΟΥ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Αρχή εποπτείας: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έκδοσης: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μια ημερομηνία.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ΠΡΟΣΔΙΟΡΙΣΜΟΣ ΕΞΑΙΡΟΥΜΕΝΟΥ ΛΟΓΑΡΙΑΣΜΟΥ</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Εξαιρούμενου Λογαριασμού:</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Μεταγραφή της ονομασίας του Λογαριασμού στο λατινικό αλφάβητο: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Μετάφραση ονομασίας Λογαριασμού στην αγγλική ή γαλλική γλώσσα (εάν εφαρμόζεται):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ΒΗΜΑ 1: ΕΠΙΒΕΒΑΙΩΣΗ ΤΟΥ ΧΑΡΑΚΤΗΡΙΣΜΟΥ ΤΟΥ ΛΟΓΑΡΙΑΣΜΟΥ ΩΣ ΧΡΗΜΑΤΟΟΙΚΟΝΟΜΙΚΟΥ ΛΟΓΑΡΙΑΣΜΟΥ (σημειώστε καταλλήλως)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Καταθετικός Λογαριασμός 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Ασφαλιστήριο Συμβόλαιο με Αξία Λογαριασμός Θεματοφυλακής Εξαγοράς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Συμβόλαιο Προσόδων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Συνδεόμενο με οφειλή ή συμμετοχικό δικαίωμα σε Επενδυτική Οντότητα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Παρακαλούμε εισάγετε σχετικές πληροφορίες ή παραπομπές στον ανωτέρω χαρακτηρισμό:</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ΒΗΜΑ 2: ΠΡΟΣΔΙΟΡΙΣΜΟΣ ΤΟΥ ΕΑΝ Ο ΧΡΗΜΑΤΟΟΙΚΟΝΟΜΙΚΟΣ ΛΟΓΑΡΙΑΣΜΟΣ ΠΑΡΟΥΣΙΑΖΕΙ ΧΑΜΗΛΟ ΚΙΝΔΥΝΟ ΝΑ ΧΡΗΣΙΜΟΠΟΙΗΘΕΙ ΓΙΑ ΦΟΡΟΔΙΑΦΥΓΗ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Παράγοντας χαμηλού κινδύνου: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Χρηματοοικονομικός Λογαριασμός υπόκειται σε ρύθμιση: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Χρηματοοικονομικός Λογαριασμός υπόκειται σε ευνοϊκό φορολογικό 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η διαβίβαση πληροφοριών προς τις φορολογικές αρχές, σε ό,τι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7310"/>
        <w:gridCol w:w="804"/>
        <w:gridCol w:w="7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αφορά τον λογαριασμό: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εισφορές ή οι φορολογικές ελαφρύνσεις που συνδέονται με τον Χρηματοοικονομικό Λογαριασμό είναι περιορισμένες: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τύπος του Χρηματοοικονομικού Λογαριασμού παρέχει καταλλήλως προσδιορισμένες και περιορισμένες υπηρεσίες σε συγκεκριμένες κατηγορίες πελατών, ώστε να αυξηθεί η πρόσβαση για σκοπούς χρηματοοικονομικής ένταξης: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Χρηματοοικονομικός Λογαριασμός παρουσιάζει χαμηλό κίνδυνο να χρησιμοποιηθεί για φοροδιαφυγή για άλλους λόγους: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περίπτωση επιλογής του σημείου 6, παρακαλούμε προσδιορίστε αυτούς τους λόγους: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Παρακαλούμε εισάγετε σχετικές πληροφορίες και / ή παραπομπές για την τεκμηρίωση ενός ή περισσότερων από τους ανωτέρω παράγοντες χαμηλού κινδύνου: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ΒΗΜΑ 3α ΚΑΙ 3β:</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Προσδιορίστε σε ποια κατηγορία Εξαιρούμενου Λογαριασμού όπως προβλέπεται από το Πρότυπο στις υποπαραγράφους Γ(17)(ζ) του Τμήματος VIII ανταποκρίνονται κάποια από τα χαρακτηριστικά του Χρηματοοικονομικού Λογαριασμού (Επιλέξτε από τον καταρράκτη «Ουσιωδώς παρεμφερή χαρακτηριστικά με:»).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Προσδιορίστε αυτά τα χαρακτηριστικά και σημειώστε τα με την ένδειξη « Πληρούται» ή σημειώστε τα χαρακτηριστικά του Χρηματοοικονομικού Λογαριασμού που δεν ανταποκρίνονται στα χαρακτηριστικά ενός Εξαιρούμενου Λογαριασμού όπως προβλέπονται από το Πρότυπο με την ένδειξη «Δεν πληρούται».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Εξηγήστε τον λόγο για τον οποίο τα χαρακτηριστικά ικανοποιούνται ή υποδείξτε υποκατάστατα χαρακτηριστικά που διασφαλίζουν ένα ισοδύναμο επίπεδο χαμηλού</w:t>
            </w:r>
          </w:p>
        </w:tc>
      </w:tr>
    </w:tbl>
    <w:p>
      <w:pPr>
        <w:spacing w:before="240" w:after="240"/>
        <w:rPr>
          <w:lang w:val="el" w:eastAsia="el"/>
        </w:rPr>
      </w:pPr>
      <w:r>
        <w:rPr>
          <w:b/>
          <w:bCs/>
          <w:lang w:val="el" w:eastAsia="el"/>
        </w:rPr>
        <w:t>κινδύνου.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67"/>
        <w:gridCol w:w="2465"/>
        <w:gridCol w:w="1707"/>
        <w:gridCol w:w="1707"/>
        <w:gridCol w:w="249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Ουσιωδώς παρεμφερή χαρακτηριστικά με (επιλέξτε μία μόνο επιλογή):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17(α)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Συνταξιοδοτικός λογαριασμός που πληροί τις ακόλουθες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λογαριασμός υπόκειται σε ρύθμιση ως προσωπικός συνταξιοδοτικός λογαριασμός ή αποτελεί μέρος καταχωρισμένου ή ρυθμιζόμενου συνταξιοδοτικού προγράμματος για παροχές σύνταξης περιλαμβανομένων των παροχών αναπηρίας ή θανάτου,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λογαριασμός υπόκειται σε ευνοϊκό φορολογικό καθεστώς, δηλαδή, οι εισφορές στον λογαριασμό, οι οποίες άλλως θα φορολογούνταν, εκπίπτουν ή εξαιρούνται από το ακαθάριστο εισόδημα του Δικαιούχου Λογαριασμού ή φορολογούνται με μειωμένο συντελεστή, ή το εισόδημα από επενδύσεις που προέρχεται από τον λογαριασμό υπόκειται σε αναβαλλόμενο φόρο ή σε μειωμένο φορολογικό συντελεστή,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η διαβίβαση πληροφοριών προς τις φορολογικές αρχές,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 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25"/>
        <w:gridCol w:w="1540"/>
        <w:gridCol w:w="927"/>
        <w:gridCol w:w="1661"/>
        <w:gridCol w:w="1661"/>
        <w:gridCol w:w="24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ό,τι αφορά τον λογαριασμό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(iv)</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επιτρέπονται οι αναλήψεις μόνον εφόσον έχει συμπληρωθεί συγκεκριμένο όριο ηλικίας, έχει επέλθει αναπηρία ή θάνατος· ή επιβάλλονται ποινές για τις αναλήψεις που πραγματοποιούνται πριν από την επέλευση τέτοιων καθορισμένων γεγονότων,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είτε i) οι ετήσιες εισφορές είναι ίσες ή κατώτερες του ποσού των πενήντα χιλιάδων (50 000) δολαρίων Η.Π.Α., ή (ii) προβλέπεται μέγιστο όριο εισφορών εφ’ όρου ζωής στο λογαριασμό, ποσού ίσου ή κατώτερου του ενός εκατομμυρίου (1 000 000) δολαρίων Η.Π.Α., ενώ εφαρμόζονται και στις δύο περιπτώσεις οι κανόνες που προβλέπονται στην Ενότητα Γ’ του Τμήματος VII για την άθροιση λογαριασμών και τη μετατροπή νομισμάτων.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Γ.17(β)</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Λογαριασμός που πληροί τις ακόλουθες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7"/>
        <w:gridCol w:w="3267"/>
        <w:gridCol w:w="1823"/>
        <w:gridCol w:w="1823"/>
        <w:gridCol w:w="16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λογαριασμός υπόκειται σε ρύθμιση ως οργανισμός επενδύσεων με σκοπούς άλλους από αυτούς της συνταξιοδότησης και αποτελεί αντικείμενο τακτικής διαπραγμάτευσης σε αναγνωρισμένη αγορά κινητών αξιών ή ο λογαριασμός υπόκειται σε ρύθμιση ως οργανισμός αποταμίευσης με σκοπούς άλλους από αυτούς της συνταξιοδότησης,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λογαριασμός υπόκειται σε ευνοϊκό φορολογικό καθεστώς, δηλαδή, οι εισφορές στον λογαριασμό, οι οποίες άλλως θα φορολογούνταν, εκπίπτουν ή εξαιρούνται από το ακαθάριστο εισόδημα του Δικαιούχου Λογαριασμού ή φορολογούνται με μειωμένο συντελεστή, ή το εισόδημα από επενδύσεις που προέρχεται από τον λογαριασμό υπόκειται σε αναβαλλόμενο φόρο ή σε μειωμένο φορολογικό συντελεστή,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επιτρέπονται οι αναλήψεις μόνον εφόσον έχουν εκπληρωθεί συγκεκριμένα κριτήρια που αφορούν τον σκοπό του λογαριασμού επένδυσης ή αποταμίευσης (για παράδειγμα την παροχή εκπαιδευτικών ή ιατρικών ωφελειών), ή επιβάλλονται ποινές για τις αναλήψεις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8"/>
        <w:gridCol w:w="2522"/>
        <w:gridCol w:w="1699"/>
        <w:gridCol w:w="1699"/>
        <w:gridCol w:w="2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πραγματοποιούνται πριν από την εκπλήρωση των εν λόγω κριτηρίων,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ετήσιες εισφορές είναι ίσες ή κατώτερες του ποσού των πενήντα (50 000) δολαρίων Η.Π.Α., εφαρμοζόμενων των κανόνων που προβλέπονται στο Τμήμα VII Ενότητα Γ’ για την άθροιση λογαριασμών και τη μετατροπή νομισμάτων.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17(γ)</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Συμβόλαιο ασφάλισης ζωής με περίοδο κάλυψης που λήγει πριν συμπληρώσει ο ασφαλισμένος το ενενηκοστό (90ό) έτος της ηλικίας του, υπό την προϋπόθεση ότι το συμβόλαιο πληροί τις ακόλουθες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Το Συμβόλαιο ασφάλισης ζωής έχει περίοδο κάλυψης που λήγει πριν συμπληρώσει ο ασφαλισμένος το ενενηκοστό (90ό) έτος της ηλικίας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καταβάλλονται περιοδικά ασφάλιστρα, τα οποία δεν μειώνονται με την πάροδο του χρόνου, τουλάχιστον σε ετήσια βάση κατά τη διάρκεια της περιόδου ισχύος του συμβολαίου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 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1"/>
        <w:gridCol w:w="2793"/>
        <w:gridCol w:w="1823"/>
        <w:gridCol w:w="1823"/>
        <w:gridCol w:w="16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να συμπληρώσει ο ασφαλισμένος το ενενηκοστό (90ό) έτος της ηλικίας του, αναλόγως ποιο χρονικό διάστημα είναι βραχύτερο,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είναι δυνατόν για οποιοδήποτε πρόσωπο να λάβει παροχές του συμβολαίου μέσω ανάληψης, δανείου ή με άλλον τρόπο, χωρίς λύση του συμβολαίου,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ποσό εκτός των παροχών θανάτου που είναι πληρωτέο σε περίπτωση ακύρωσης ή λύσης του συμβολαίου δεν μπορεί να υπερβεί το άθροισμα των ασφαλίστρων που έχουν καταβληθεί για το συμβόλαιο, μείον το ποσό που αντιστοιχεί στις επιβαρύνσεις λόγω θανάτου, ασθένειας και δαπανών, είτε έχουν πράγματι επιβληθεί είτε όχι, για την περίοδο ή τις περιόδους ισχύος του συμβολαίου και τυχόν ποσών που έχουν καταβληθεί πριν από την ακύρωση ή τη λύση του συμβολαίου,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συμβόλαιο δεν διακρατείται από εκδοχέα έναντι αξίας.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 εισαγάγετε 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Γ.17(δ)</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Λογαριασμός που ανήκει αποκλειστικά σε κληρονομία, εφόσον στα έγγραφα του λογαριασμού περιλαμβάνεται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8"/>
        <w:gridCol w:w="1357"/>
        <w:gridCol w:w="1328"/>
        <w:gridCol w:w="670"/>
        <w:gridCol w:w="1320"/>
        <w:gridCol w:w="956"/>
        <w:gridCol w:w="384"/>
        <w:gridCol w:w="19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αντίγραφο της διαθήκης του θανόντος ή πιστοποιητικό θανάτου: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Ανήκει αποκλειστικά σε κληρονομία.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έγγραφα του λογαριασμού περιλαμβάνεται αντίγραφο της διαθήκης του θανόντος ή πιστοποιητικό θανάτου.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Γ.17(ε)(i)</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Λογαριασμός που έχει ανοιχθεί σε σύνδεση με διαταγή ή απόφαση δικαστηρίου: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ανοιχθεί σε σύνδεση με διαταγή ή απόφαση δικαστηρίου.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ι εισαγάγετε κείμενο.</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Γ.17(ε)(ii)</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Λογαριασμός που έχει ανοιχθεί σε σύνδεση με πώληση, ανταλλαγή ή μίσθωση εμπράγματης ή προσωπικής περιουσίας, υπό την προϋπόθεση ότι ο λογαριασμός πληροί τις ακόλουθες προϋποθέσεις: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4"/>
        <w:gridCol w:w="2625"/>
        <w:gridCol w:w="1769"/>
        <w:gridCol w:w="1768"/>
        <w:gridCol w:w="25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χαμηλού κινδύνου, εάν τα</w:t>
            </w:r>
          </w:p>
          <w:p>
            <w:pPr>
              <w:spacing w:before="240"/>
              <w:rPr>
                <w:b w:val="0"/>
                <w:bCs w:val="0"/>
                <w:i w:val="0"/>
                <w:iCs w:val="0"/>
                <w:smallCaps w:val="0"/>
                <w:color w:val="000000"/>
                <w:lang w:val="el" w:eastAsia="el"/>
              </w:rPr>
            </w:pPr>
            <w:r>
              <w:rPr>
                <w:b/>
                <w:bCs/>
                <w:i w:val="0"/>
                <w:iCs w:val="0"/>
                <w:smallCaps w:val="0"/>
                <w:color w:val="000000"/>
                <w:lang w:val="el" w:eastAsia="el"/>
              </w:rPr>
              <w:t>χαρακτηριστικά δεν πληρούνται.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(ΒΑΣΙΚΗ ΑΠΑΙΤΗΣΗ) Ο Λογαριασμός έχει ανοιχθεί σε σύνδεση με πώληση, ανταλλαγή ή μίσθωση εμπράγματης ή προσωπικής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λογαριασμός τροφοδοτείται αποκλειστικά με ποσά που προέρχονται από προκαταβολή, αρραβώνα, κατάθεση ποσού κατάλληλου για την εξασφάλιση υποχρέωσης που συνδέεται άμεσα με τη συναλλαγή ή παρόμοια πληρωμή, ή τροφοδοτείται με Χρηματοοικονομικό Περιουσιακό Στοιχείο που κατατίθεται στον λογαριασμό σε σύνδεση με την πώληση, την ανταλλαγή ή τη μίσθωση περιουσιακού στοιχείου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λογαριασμός ανοίγεται και χρησιμοποιείται με αποκλειστικό σκοπό την εξασφάλιση της υποχρέωσης του αγοραστή να καταβάλει το τίμημα της πώλησης του περιουσιακού στοιχείου, του πωλητή να καταβάλει οποιαδήποτε αποζημίωση για τυχόν ενδεχόμενη υποχρέωση, ή του εκμισθωτή ή του μισθωτή να καταβάλει αποζημίωση σχετικά με το μισθωμένο περιουσιακό 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 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6"/>
        <w:gridCol w:w="2757"/>
        <w:gridCol w:w="1763"/>
        <w:gridCol w:w="1763"/>
        <w:gridCol w:w="18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όπως έχει συμφωνηθεί στo πλαίσιo της μίσθωσης·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περιουσιακά στοιχεία που περιέχονται στο λογαριασμό, περιλαμβανομένου του εισοδήματος που προέρχεται από τον λογαριασμό, θα καταβληθούν ή θα διατεθούν με άλλον τρόπο προς όφελος του αγοραστή, του πωλητή, του εκμισθωτή ή του μισθωτή, μεταξύ άλλων για να εκπληρωθεί υποχρέωση του εν λόγω προσώπου, όταν το περιουσιακό στοιχείο πωληθεί, ανταλλαχθεί ή παραδοθεί, ή όταν λυθεί η μίσθωση·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λογαριασμός δεν είναι λογαριασμός περιθωρίου ή παρόμοιος λογαριασμός που έχει ανοιχθεί στο πλαίσιο πώλησης ή ανταλλαγής Χρηματοοικονομικού Περιουσιακού Στοιχείου,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λογαριασμός δεν συνδέεται με λογαριασμό περιγραφόμενο στην Ενότητα Γ’ παράγραφος 17 στοιχείο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Γ.17(ε) (iii)</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Λογαριασμός που έχει ανοιχθεί σε σύνδεση με υποχρέωση Χρηματοπιστωτικού Ιδρύματος που διαχειρίζεται δάνειο εξασφαλιζόμενο με εμπράγματο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78"/>
        <w:gridCol w:w="70"/>
        <w:gridCol w:w="1823"/>
        <w:gridCol w:w="911"/>
        <w:gridCol w:w="911"/>
        <w:gridCol w:w="26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περιουσιακό στοιχείο να κρατά μέρος του καταβαλλόμενου ποσού με αποκλειστικό σκοπό τη διευκόλυνση της πληρωμής φόρων ή ασφάλισης σχετικά με το εμπράγματο περιουσιακό στοιχείο σε μεταγενέστερο χρόνο: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ανοιχθεί σε σύνδεση με υποχρέωση Χρηματοπιστωτικού Ιδρύματος που διαχειρίζεται δάνειο εξασφαλιζόμενο με εμπράγματο περιουσιακό στοιχείο να κρατά μέρος του καταβαλλόμενου ποσού με αποκλειστικό σκοπό τη διευκόλυνση της πληρωμής φόρων ή ασφάλισης σχετικά με το εμπράγματο περιουσιακό στοιχείο σε μεταγενέστερο χρόνο.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Γ.17(ε) (iv)</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Λογαριασμός που έχει ανοιχθεί σε σύνδεση με υποχρέωση Χρηματοπιστωτικού Ιδρύματος που έχει αποκλειστικό σκοπό την πληρωμή φόρων σε μεταγενέστερο χρόνο.: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 χαρακτηριστικά δεν πληρούνται.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ανοιχθεί σε σύνδεση με υποχρέωση Χρηματοπιστωτικού Ιδρύματος που έχει αποκλειστικό σκοπό την πληρωμή φόρων σε μεταγενέστερο χρόνο.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Γ.17(στ)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Καταθετικός Λογαριασμός που πληροί τις ακόλουθες απαιτήσεις: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Εξηγήστε τους λόγους για τους οποίους πληρούνται τα χαρακτηριστικά, ή β) Υποδείξτε υποκατάστατα χαρακτηριστικά που διασφαλίζουν ένα ισοδύναμο επίπεδο χαμηλού κινδύνου, εάν 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5"/>
        <w:gridCol w:w="3358"/>
        <w:gridCol w:w="1823"/>
        <w:gridCol w:w="1823"/>
        <w:gridCol w:w="16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χαρακτηριστικά δεν πληρούνται.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λογαριασμός υπάρχει μόνον διότι ο πελάτης καταβάλλει ποσό που υπερβαίνει το χρεωστικό υπόλοιπο πιστωτικής κάρτας ή άλλης ανακυκλούμενης πιστωτικής διευκόλυνσης και το πλεονάζον ποσό δεν επιστρέφεται αμέσως στον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ΠΛΗΡΟΥΤΑΙ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ή πριν από την 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Ιανουαρίου 2016, το Χρηματοπιστωτικό Ίδρυμα εφαρμόζει πολιτικές και διαδικασίες, ώστε είτε να μη δύναται ο πελάτης να καταβάλει πλεονάζον ποσό που να υπερβαίνει το ποσό των πενήντα χιλιάδων (50 000) δολαρίων Η.Π.Α. είτε να επιστρέφεται στον πελάτη εντός 60 ημερών κάθε καταβληθέν πλεονάζον ποσό που υπερβαίνει το ποσό των πενήντα χιλιάδων (50 000) δολαρίων Η.Π.Α., εφαρμοζομένων, σε αμφότερες τις περιπτώσεις, των κανόνων που ορίζονται στο Τμήμα VII Ενότητα Γ’ για τη μετατροπή νομισμάτων. Για τους σκοπούς του προηγούμενου εδαφίου,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ΠΛΗΡΟΥΤΑΙ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 ΔΕΝ ΠΛΗΡΟΥΤΑΙ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21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καταβληθέν από τον πελάτη πλεονάζον ποσό δεν αναφέρεται σε πιστωτικά υπόλοιπα στον βαθμό που αυτά σχετίζονται με αμφισβητηθείσες χρεώσεις, αλλά περιλαμβάνει πιστωτικά υπόλοιπα που προκύπτουν από επιστροφές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Άλλη παρατήρηση: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Κάντε κλικ εδώ, για να εισαγάγετε κείμενο.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ΒΗΜΑ 4: ΥΠΟΔΕΙΞΤΕ ΤΗ ΣΧΕΤΙΚΗ ΔΙΑΤΑΞΗ ΔΥΝΑΜΕΙ ΤΗΣ ΟΠΟΙΑΣ Ο ΧΡΗΜΑΤΟΟΙΚΟΝΟΜΙΚΟΣ ΛΟΓΑΡΙΑΣΜΟΣ ΕΧΕΙ ΧΑΡΑΚΤΗΡΙΣΤΕΙ ΩΣ ΧΑΜΗΛΟΥ ΚΙΝΔΥΝΟΥ ΕΞΑΙΡΟΥΜΕΝΟΣ ΛΟΓΑΡΙΑΣΜΟΣ ΣΤΗΝ ΕΣΩΤΕΡΙΚΗ ΝΟΜΟΘΕΣΙΑ</w:t>
            </w:r>
          </w:p>
        </w:tc>
      </w:tr>
    </w:tbl>
    <w:p>
      <w:pPr>
        <w:spacing w:before="240" w:after="240"/>
        <w:rPr>
          <w:lang w:val="el" w:eastAsia="el"/>
        </w:rPr>
      </w:pPr>
      <w:r>
        <w:rPr>
          <w:b/>
          <w:bCs/>
          <w:lang w:val="el" w:eastAsia="el"/>
        </w:rPr>
        <w:t>40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mofadm.gr" TargetMode="External" /><Relationship Id="rId5" Type="http://schemas.openxmlformats.org/officeDocument/2006/relationships/hyperlink" Target="http://www.aade.gr/" TargetMode="External" /><Relationship Id="rId6" Type="http://schemas.openxmlformats.org/officeDocument/2006/relationships/hyperlink" Target="mailto:d.eleg4@mofadm.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