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ΠΟΛ.1137/2017</w:t>
      </w:r>
    </w:p>
    <w:p>
      <w:pPr>
        <w:pStyle w:val="Title"/>
        <w:spacing w:before="120" w:after="360"/>
        <w:rPr>
          <w:lang w:val="el" w:eastAsia="el"/>
        </w:rPr>
      </w:pPr>
      <w:r>
        <w:rPr>
          <w:lang w:val="el" w:eastAsia="el"/>
        </w:rPr>
        <w:t>Καθορισμός των καταλόγων σχετικά με τις Δηλωτέες Δικαιοδοσίες, δυνάμει του άρθρου πέμπτου παρ. 4 τρίτο εδάφιο του ν. 4428/2016 (Α' 190) και με τις Συμμετέχουσες Δικαιοδοσίες, δυνάμει του ίδιου άρθρου και του άρθρου 9 παρ. 5 περίπτ. β' τρίτο εδάφιο του ν. 4170/2013 (Α' 163), έναντι της Ελλάδας</w:t>
      </w:r>
    </w:p>
    <w:p>
      <w:pPr>
        <w:pStyle w:val="PreambelText"/>
        <w:spacing w:before="240" w:after="240"/>
        <w:rPr>
          <w:lang w:val="el" w:eastAsia="el"/>
        </w:rPr>
      </w:pPr>
      <w:r>
        <w:rPr>
          <w:lang w:val="el" w:eastAsia="el"/>
        </w:rPr>
        <w:t>Αθήνα, 12 Σεπτεμβρίου 2017</w:t>
      </w:r>
    </w:p>
    <w:p>
      <w:pPr>
        <w:pStyle w:val="PreambelText"/>
        <w:spacing w:before="240" w:after="240"/>
        <w:rPr>
          <w:lang w:val="el" w:eastAsia="el"/>
        </w:rPr>
      </w:pPr>
      <w:r>
        <w:rPr>
          <w:lang w:val="el" w:eastAsia="el"/>
        </w:rPr>
        <w:t>ΠΟΛ 1137/12.9.2017</w:t>
      </w:r>
    </w:p>
    <w:p>
      <w:pPr>
        <w:pStyle w:val="PreambelText"/>
        <w:spacing w:before="240" w:after="240"/>
        <w:rPr>
          <w:lang w:val="el" w:eastAsia="el"/>
        </w:rPr>
      </w:pPr>
      <w:r>
        <w:rPr>
          <w:lang w:val="el" w:eastAsia="el"/>
        </w:rPr>
        <w:t>(ΦΕΚ Β' 3293/19-09-2017)</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Δ/ΝΣΗ ΔΙΕΘΝΩΝ ΟΙΚΟΝΟΜΙΚΩΝ ΣΧΕΣΕΩΝ</w:t>
      </w:r>
    </w:p>
    <w:p>
      <w:pPr>
        <w:pStyle w:val="Heading1"/>
        <w:spacing w:before="240" w:after="240"/>
        <w:rPr>
          <w:lang w:val="el" w:eastAsia="el"/>
        </w:rPr>
      </w:pPr>
      <w:r>
        <w:rPr>
          <w:lang w:val="el" w:eastAsia="el"/>
        </w:rPr>
        <w:t xml:space="preserve">ΤΜΗΜΑ Γ΄ </w:t>
      </w:r>
    </w:p>
    <w:p>
      <w:pPr>
        <w:pStyle w:val="Heading1"/>
        <w:spacing w:before="240" w:after="240"/>
        <w:rPr>
          <w:lang w:val="el" w:eastAsia="el"/>
        </w:rPr>
      </w:pPr>
      <w:r>
        <w:rPr>
          <w:lang w:val="el" w:eastAsia="el"/>
        </w:rPr>
        <w:t>- ΔΙΕΘΝΟΥΣ ΔΙΟΙΚΗΤΙΚΗΣ ΣΥΝΕΡΓΑΣΙΑΣ</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Πληροφορίες: Μ. Γκότση,</w:t>
      </w:r>
    </w:p>
    <w:p>
      <w:pPr>
        <w:spacing w:before="240" w:after="240"/>
        <w:rPr>
          <w:lang w:val="el" w:eastAsia="el"/>
        </w:rPr>
      </w:pPr>
      <w:r>
        <w:rPr>
          <w:lang w:val="el" w:eastAsia="el"/>
        </w:rPr>
        <w:t>Χ. Ζαχαριάδου,</w:t>
      </w:r>
    </w:p>
    <w:p>
      <w:pPr>
        <w:spacing w:before="240" w:after="240"/>
        <w:rPr>
          <w:lang w:val="el" w:eastAsia="el"/>
        </w:rPr>
      </w:pPr>
      <w:r>
        <w:rPr>
          <w:lang w:val="el" w:eastAsia="el"/>
        </w:rPr>
        <w:t>Γ. Σ. Μπέη</w:t>
      </w:r>
    </w:p>
    <w:p>
      <w:pPr>
        <w:spacing w:before="240" w:after="240"/>
        <w:rPr>
          <w:lang w:val="el" w:eastAsia="el"/>
        </w:rPr>
      </w:pPr>
      <w:r>
        <w:rPr>
          <w:lang w:val="el" w:eastAsia="el"/>
        </w:rPr>
        <w:t>Τηλέφωνο: 210 – 33 75 868, -5865</w:t>
      </w:r>
    </w:p>
    <w:p>
      <w:pPr>
        <w:spacing w:before="240" w:after="240"/>
        <w:rPr>
          <w:lang w:val="el" w:eastAsia="el"/>
        </w:rPr>
      </w:pPr>
      <w:r>
        <w:rPr>
          <w:lang w:val="el" w:eastAsia="el"/>
        </w:rPr>
        <w:t>Τηλ/πία: 210 - 33 75 854</w:t>
      </w:r>
    </w:p>
    <w:p>
      <w:pPr>
        <w:spacing w:before="240" w:after="240"/>
        <w:rPr>
          <w:lang w:val="el" w:eastAsia="el"/>
        </w:rPr>
      </w:pPr>
      <w:r>
        <w:rPr>
          <w:lang w:val="el" w:eastAsia="el"/>
        </w:rPr>
        <w:t>Ηλ. ταχ.: dos.c@mofadm.gr</w:t>
      </w:r>
    </w:p>
    <w:p>
      <w:pPr>
        <w:spacing w:before="240" w:after="240"/>
        <w:rPr>
          <w:lang w:val="el" w:eastAsia="el"/>
        </w:rPr>
      </w:pPr>
      <w:r>
        <w:rPr>
          <w:lang w:val="el" w:eastAsia="el"/>
        </w:rPr>
        <w:t>Ιστοσελίδα: www.aade.gr</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ΠΟΛ 1137/2017</w:t>
      </w:r>
    </w:p>
    <w:p>
      <w:pPr>
        <w:spacing w:before="240" w:after="240"/>
        <w:rPr>
          <w:lang w:val="el" w:eastAsia="el"/>
        </w:rPr>
      </w:pPr>
      <w:r>
        <w:rPr>
          <w:b/>
          <w:bCs/>
          <w:lang w:val="el" w:eastAsia="el"/>
        </w:rPr>
        <w:t>Θέμα: Καθορισμός των καταλόγων σχετικά με τις Δηλωτέες Δικαιοδοσίες, δυνάμει του άρθρου πέμπτου παρ. 4 τρίτο εδάφιο του ν. 4428/2016 (Α’ 190) και με τις Συμμετέχουσες Δικαιοδοσίες, δυνάμει του ίδιου άρθρου και του άρθρου 9 παρ. 5 περίπτ. β’ τρίτο εδάφιο του ν.4170/2013 (Α’ 163), έναντι της Ελλάδας.</w:t>
      </w:r>
    </w:p>
    <w:p>
      <w:pPr>
        <w:spacing w:before="240" w:after="240"/>
        <w:rPr>
          <w:lang w:val="el" w:eastAsia="el"/>
        </w:rPr>
      </w:pPr>
      <w:r>
        <w:rPr>
          <w:lang w:val="el" w:eastAsia="el"/>
        </w:rPr>
        <w:t>ΑΠΟΦΑΣΗ</w:t>
      </w:r>
    </w:p>
    <w:p>
      <w:pPr>
        <w:spacing w:before="240" w:after="240"/>
        <w:rPr>
          <w:lang w:val="el" w:eastAsia="el"/>
        </w:rPr>
      </w:pPr>
      <w:r>
        <w:rPr>
          <w:lang w:val="el" w:eastAsia="el"/>
        </w:rPr>
        <w:t xml:space="preserve">Ο ΔΙΟΙΚΗΤΗΣ ΤΗΣ ΑΝΕΞΑΡΤΗΤΗΣ ΑΡΧΗΣ ΔΗΜΟΣΙΩΝ ΕΣΟΔΩΝ </w:t>
      </w:r>
    </w:p>
    <w:p>
      <w:pPr>
        <w:spacing w:before="240" w:after="240"/>
        <w:rPr>
          <w:lang w:val="el" w:eastAsia="el"/>
        </w:rPr>
      </w:pPr>
      <w:r>
        <w:rPr>
          <w:lang w:val="el" w:eastAsia="el"/>
        </w:rPr>
        <w:t xml:space="preserve">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9, παρ. 5 περίπτ. β, τρίτο εδάφιο του ν. 4170/2013 (Α' 163) «Ενσωμάτωση της Οδηγίας 2011/16/ΕΕ, ρύθμιση θεμάτων της ΕΛ.Τ.Ε., αναμόρφωση Οργανισμού του Ν.Σ.Κ. και άλλες διατάξεις», όπως τροποποιήθηκε, συμπληρώθηκε και ισχύει, και ιδίως αναφορικά με την έκδοση απόφασης του Διοικητή της Ανεξάρτητης Αρχής Δημοσίων Εσόδων (ΑΑΔΕ), σχετικά με την έκδοση καταλόγου Συμμετεχουσών Δικαιοδοσιών έναντι της Ελλάδας, σύμφωνα με το Κεφάλαιο Η, Παράρτημα Ι, Τμήμα VIII Ενότητα Δ' παρ. 4 του ίδιου νόμου.</w:t>
      </w:r>
    </w:p>
    <w:p>
      <w:pPr>
        <w:pStyle w:val="StructureList1"/>
        <w:spacing w:before="120" w:after="0"/>
        <w:rPr>
          <w:lang w:val="el" w:eastAsia="el"/>
        </w:rPr>
      </w:pPr>
      <w:r>
        <w:rPr>
          <w:lang w:val="el" w:eastAsia="el"/>
        </w:rPr>
        <w:t>β)</w:t>
      </w:r>
      <w:r>
        <w:rPr>
          <w:lang w:val="en" w:eastAsia="en"/>
        </w:rPr>
        <w:tab/>
      </w:r>
      <w:r>
        <w:rPr>
          <w:lang w:val="el" w:eastAsia="el"/>
        </w:rPr>
        <w:t>Του άρθρου πέμπτου, παρ. 4, τρίτο εδάφιο του ν. 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αναφορικά με την έκδοση απόφασης του Διοικητή της ΑΑΔΕ, σχετικά με την έκδοση καταλόγου Δηλωτέων και Συμμετεχουσών Δικαιοδοσιών έναντι της Ελλάδας, σύμφωνα με το άρθρο τρίτο, παρ. 1, Παράρτημα Ι, Τμήμα VIII Ενότητα Δ' παρ. 4 και 5, σε συνδυασμό με τη διάταξη του άρθρου πρώτου του ίδιου νόμου και ιδίως το Τμήμα 1 περίπτ. η, Τμήμα 3 παρ. 3 και το Τμήμα 7 παρ. 1 περίπτ. α' και παρ. 2.1 της κυρωθείσας με το άρθρο αυτό Πολυμερούς Συμφωνίας Αρμόδιων Αρχών (πΣΑΑ).</w:t>
      </w:r>
    </w:p>
    <w:p>
      <w:pPr>
        <w:pStyle w:val="StructureList1"/>
        <w:spacing w:before="120" w:after="0"/>
        <w:rPr>
          <w:lang w:val="el" w:eastAsia="el"/>
        </w:rPr>
      </w:pPr>
      <w:r>
        <w:rPr>
          <w:lang w:val="el" w:eastAsia="el"/>
        </w:rPr>
        <w:t>γ)</w:t>
      </w:r>
      <w:r>
        <w:rPr>
          <w:lang w:val="en" w:eastAsia="en"/>
        </w:rPr>
        <w:tab/>
      </w:r>
      <w:r>
        <w:rPr>
          <w:lang w:val="el" w:eastAsia="el"/>
        </w:rPr>
        <w:t>Του άρθρου 9 παρ. 1 περίπτ. β' του ν. 4170/2013, σύμφωνα με την οποία η αρμόδια αρχή της Ελλάδας ανταλλάσσει με τις αρμόδιες αρχές των άλλων κρατών μελών της ΕΕ, με αυτόματο τρόπο και εντός της προθεσμίας της παρ. 2 περίπτ. β' του ίδιου άρθρου, τις πληροφορίες χρηματοοικονομικών λογαριασμών, όπως ορίζονται στο ίδιο άρθρο, σχετικά με τα φορολογικά έτη από την 1η Ιανουαρίου 2016 και εξής.</w:t>
      </w:r>
    </w:p>
    <w:p>
      <w:pPr>
        <w:pStyle w:val="StructureList1"/>
        <w:spacing w:before="120" w:after="0"/>
        <w:rPr>
          <w:lang w:val="el" w:eastAsia="el"/>
        </w:rPr>
      </w:pPr>
      <w:r>
        <w:rPr>
          <w:lang w:val="el" w:eastAsia="el"/>
        </w:rPr>
        <w:t>δ)</w:t>
      </w:r>
      <w:r>
        <w:rPr>
          <w:lang w:val="en" w:eastAsia="en"/>
        </w:rPr>
        <w:tab/>
      </w:r>
      <w:r>
        <w:rPr>
          <w:lang w:val="el" w:eastAsia="el"/>
        </w:rPr>
        <w:t>Του άρθρου 28, παρ. 3 και 6 και του άρθρου 32 παρ. 1 της Σύμβασης του Συμβουλίου της Ευρώπης και του ΟΟΣΑ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τις διατάξεις του άρθρου πρώτου του ν. 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w:t>
      </w:r>
    </w:p>
    <w:p>
      <w:pPr>
        <w:pStyle w:val="StructureList1"/>
        <w:spacing w:before="120" w:after="0"/>
        <w:rPr>
          <w:lang w:val="el" w:eastAsia="el"/>
        </w:rPr>
      </w:pPr>
      <w:r>
        <w:rPr>
          <w:lang w:val="el" w:eastAsia="el"/>
        </w:rPr>
        <w:t>ε)</w:t>
      </w:r>
      <w:r>
        <w:rPr>
          <w:lang w:val="en" w:eastAsia="en"/>
        </w:rPr>
        <w:tab/>
      </w:r>
      <w:r>
        <w:rPr>
          <w:lang w:val="el" w:eastAsia="el"/>
        </w:rPr>
        <w:t>Του ν. 3363/2005 (Α' 159), με τον οποίο κυρώθηκε η Συμφωνία μεταξύ της Ευρωπαϊκής Κοινότητας και της Ελβετικής Συνομοσπονδίας που προβλέπει μέτρα ισοδύναμα με τα θεσπιζόμενα στην οδηγία 2003/48/ΕΚ του Συμβουλίου για τη φορολόγηση των υπό μορφή τόκων εισοδημάτων από αποταμιεύσεις, το Μνημόνιο Συμφωνίας που τη συνοδεύει μεταξύ της Ευρωπαϊκής Κοινότητας και των κρατών - μελών της αφ' ενός και της Ελβετικής Συνομοσπονδίας αφ' ετέρου, καθώς και τη Συμφωνία υπό μορφή ανταλλαγής επιστολών της Ευρωπαϊκής Κοινότητας και της Ελβετικής Συνομοσπονδίας σχετικά με την ημερομηνία εφαρμογής της ως άνω Συμφωνίας (ΕΕ L 385 της 29.12.2004) και το Τροποποιητικό Πρωτόκολλο αυτής (ΕΕ L 333 της 19.12.2015).</w:t>
      </w:r>
    </w:p>
    <w:p>
      <w:pPr>
        <w:pStyle w:val="StructureList1"/>
        <w:spacing w:before="120" w:after="0"/>
        <w:rPr>
          <w:lang w:val="el" w:eastAsia="el"/>
        </w:rPr>
      </w:pPr>
      <w:r>
        <w:rPr>
          <w:lang w:val="el" w:eastAsia="el"/>
        </w:rPr>
        <w:t>στ)</w:t>
      </w:r>
      <w:r>
        <w:rPr>
          <w:lang w:val="en" w:eastAsia="en"/>
        </w:rPr>
        <w:tab/>
      </w:r>
      <w:r>
        <w:rPr>
          <w:lang w:val="el" w:eastAsia="el"/>
        </w:rPr>
        <w:t>Του ν. 3365/2005 (Α' 161), με τον οποίο κυρώθηκε η Συμφωνία μεταξύ της Ευρωπαϊκής Κοινότητας και του Πριγκιπάτου του Λιχτενστάιν που προβλέπει μέτρα ισοδύναμα με τα θεσπιζόμενα στην οδηγία 2003/48/ΕΚ του Συμβουλίου για τη φορολόγηση των υπό μορφή τόκων εισοδημάτων από αποταμιεύσεις, καθώς και το Μνημόνιο Συμφωνίας που τη συνοδεύει μεταξύ της Ευρωπαϊκής Κοινότητας και των κρατών - μελών της αφ' ενός και του Πριγκιπάτου του Λιχτενστάιν αφ' ετέρου (ΕΕ L της 24.12.2004) και το Τροποποιητικό Πρωτόκολλο αυτής (ΕΕ L 339 της 24.12.2015).</w:t>
      </w:r>
    </w:p>
    <w:p>
      <w:pPr>
        <w:pStyle w:val="StructureList1"/>
        <w:spacing w:before="120" w:after="0"/>
        <w:rPr>
          <w:lang w:val="el" w:eastAsia="el"/>
        </w:rPr>
      </w:pPr>
      <w:r>
        <w:rPr>
          <w:lang w:val="el" w:eastAsia="el"/>
        </w:rPr>
        <w:t>ζ)</w:t>
      </w:r>
      <w:r>
        <w:rPr>
          <w:lang w:val="en" w:eastAsia="en"/>
        </w:rPr>
        <w:tab/>
      </w:r>
      <w:r>
        <w:rPr>
          <w:lang w:val="el" w:eastAsia="el"/>
        </w:rPr>
        <w:t>Του ν. 3362/2005 (Α' 158), με τον οποίο κυρώθηκε η Συμφωνία μεταξύ της Ευρωπαϊκής Κοινότητας και της Δημοκρατίας του Αγίου Μαρίνου που προβλέπει μέτρα ισοδύναμα με τα θεσπιζόμενα στην οδηγία 2003/48/ΕΚ  του Συμβουλίου για τη φορολόγηση των υπό μορφή τόκων εισοδημάτων από αποταμιεύσεις, καθώς και το Μνημόνιο Συμφωνίας που τη συνοδεύει μεταξύ της Ευρωπαϊκής Κοινότητας και των κρατών - μελών της αφ' ενός και της Δημοκρατίας του Αγίου Μαρίνου αφ' ετέρου (ΕΕ L 381 της 28.12.2004) και το Τροποποιητικό Πρωτόκολλο αυτής (ΕΕ L 346 της 31.12.2015).</w:t>
      </w:r>
    </w:p>
    <w:p>
      <w:pPr>
        <w:pStyle w:val="StructureList1"/>
        <w:spacing w:before="120" w:after="0"/>
        <w:rPr>
          <w:lang w:val="el" w:eastAsia="el"/>
        </w:rPr>
      </w:pPr>
      <w:r>
        <w:rPr>
          <w:lang w:val="el" w:eastAsia="el"/>
        </w:rPr>
        <w:t>η)</w:t>
      </w:r>
      <w:r>
        <w:rPr>
          <w:lang w:val="en" w:eastAsia="en"/>
        </w:rPr>
        <w:tab/>
      </w:r>
      <w:r>
        <w:rPr>
          <w:lang w:val="el" w:eastAsia="el"/>
        </w:rPr>
        <w:t>Του ν. 3361/2005 (Α' 157), με τον οποίο κυρώθηκε η Συμφωνία μεταξύ της Ευρωπαϊκής Κοινότητας και του Πριγκιπάτου της Ανδόρας που προβλέπει μέτρα ισοδύναμα με τα θεσπιζόμενα στην οδηγία 2003/48/ΕΚ του Συμβουλίου για τη φορολόγηση των υπό μορφή τόκων εισοδημάτων από αποταμιεύσεις και την Κοινή Δήλωση Προθέσεων που τη συνοδεύει μεταξύ της Ευρωπαϊκής Κοινότητας και των κρατών - μελών της αφ' ενός και του Πριγκιπάτου της Ανδόρας αφ' ετέρου (EE L 359 της 4.12.2004)........και το Τροποποιητικό Πρωτόκολλο αυτής (ΕΕ L 268 της 1.10.2016).</w:t>
      </w:r>
    </w:p>
    <w:p>
      <w:pPr>
        <w:pStyle w:val="StructureList1"/>
        <w:spacing w:before="120" w:after="0"/>
        <w:rPr>
          <w:lang w:val="el" w:eastAsia="el"/>
        </w:rPr>
      </w:pPr>
      <w:r>
        <w:rPr>
          <w:lang w:val="el" w:eastAsia="el"/>
        </w:rPr>
        <w:t>θ)</w:t>
      </w:r>
      <w:r>
        <w:rPr>
          <w:lang w:val="en" w:eastAsia="en"/>
        </w:rPr>
        <w:tab/>
      </w:r>
      <w:r>
        <w:rPr>
          <w:lang w:val="el" w:eastAsia="el"/>
        </w:rPr>
        <w:t>Του ν. 3364/2005 (Α' 160), με τον οποίο κυρώθηκε η Συμφωνία μεταξύ της Ευρωπαϊκής Κοινότητας και του Πριγκιπάτου του Μονακό που προβλέπει μέτρα ισοδύναμα με εκείνα που θεσπίζονται στην οδηγία 2003/48/ ΕΚ του Συμβουλίου για τη φορολόγηση των υπό μορφή τόκων εισοδημάτων από αποταμιεύσεις και τη Δήλωση Προθέσεων που τη συνοδεύει μεταξύ της Ευρωπαϊκής Κοινότητας και του Πριγκιπάτου του Μονακό (EE L 19 της 21.1.2005).........και το Τροποποιητικό Πρωτόκολλο αυτής (ΕΕ L 225 της 19.8.2016).</w:t>
      </w:r>
    </w:p>
    <w:p>
      <w:pPr>
        <w:pStyle w:val="StructureList1"/>
        <w:spacing w:before="120" w:after="0"/>
        <w:rPr>
          <w:lang w:val="el" w:eastAsia="el"/>
        </w:rPr>
      </w:pPr>
      <w:r>
        <w:rPr>
          <w:lang w:val="el" w:eastAsia="el"/>
        </w:rPr>
        <w:t>ι)</w:t>
      </w:r>
      <w:r>
        <w:rPr>
          <w:lang w:val="en" w:eastAsia="en"/>
        </w:rPr>
        <w:tab/>
      </w:r>
      <w:r>
        <w:rPr>
          <w:lang w:val="el" w:eastAsia="el"/>
        </w:rPr>
        <w:t>Της Συμφωνίας μεταξύ της Ευρωπαϊκής Ένωσης και της Γαλλικής Δημοκρατίας για την εφαρμογή, όσον αφορά την κοινότητα του Αγίου Βαρθολομαίου, της νομοθεσίας της Ένωσης σχετικά με τη φορολόγηση των αποταμιεύσεων και τη διοικητική συνεργασία στον τομέα της φορολογίας (ΕΕ L 330 της 15.11.2014).</w:t>
      </w:r>
    </w:p>
    <w:p>
      <w:pPr>
        <w:pStyle w:val="StructureList1"/>
        <w:spacing w:before="120" w:after="0"/>
        <w:rPr>
          <w:lang w:val="el" w:eastAsia="el"/>
        </w:rPr>
      </w:pPr>
      <w:r>
        <w:rPr>
          <w:lang w:val="el" w:eastAsia="el"/>
        </w:rPr>
        <w:t>ια)</w:t>
      </w:r>
      <w:r>
        <w:rPr>
          <w:lang w:val="en" w:eastAsia="en"/>
        </w:rPr>
        <w:tab/>
      </w:r>
      <w:r>
        <w:rPr>
          <w:lang w:val="el" w:eastAsia="el"/>
        </w:rPr>
        <w:t>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2. Την αριθμ. ΠΟΛ.1135/2017 απόφαση του Υπουργού Οικονομικών και της Υφυπουργού Οικονομικών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της παρ. 2 του άρθρου πέμπτου του ν. 4428/2016» (Β' 3053).</w:t>
      </w:r>
    </w:p>
    <w:p>
      <w:pPr>
        <w:spacing w:before="240" w:after="240"/>
        <w:rPr>
          <w:lang w:val="el" w:eastAsia="el"/>
        </w:rPr>
      </w:pPr>
      <w:r>
        <w:rPr>
          <w:lang w:val="el" w:eastAsia="el"/>
        </w:rPr>
        <w:t>3. Τον από 29.06.2017 κατάλογο της Γραμματείας Συντονιστικού Οργάνου της Σύμβασης σχετικά με το καθεστώς των δικαιοδοσιών που έχουν υπογράψει τη Σύμβαση ως προς την ημερομηνία έναρξης ισχύος της.</w:t>
      </w:r>
    </w:p>
    <w:p>
      <w:pPr>
        <w:spacing w:before="240" w:after="240"/>
        <w:rPr>
          <w:lang w:val="el" w:eastAsia="el"/>
        </w:rPr>
      </w:pPr>
      <w:r>
        <w:rPr>
          <w:lang w:val="el" w:eastAsia="el"/>
        </w:rPr>
        <w:t>4. Τον από Αύγουστο 2017 κατάλογο του ΟΟΣΑ με τις δικαιοδοσίες που έχουν δεσμευθεί για την αυτόματη ανταλλαγή πληροφοριών βάσει του Κοινού Προτύπου Αναφοράς (ΚΠΑ) με πρώτη ανταλλαγή πληροφοριών το 2017 και το 2018.</w:t>
      </w:r>
    </w:p>
    <w:p>
      <w:pPr>
        <w:spacing w:before="240" w:after="240"/>
        <w:rPr>
          <w:lang w:val="el" w:eastAsia="el"/>
        </w:rPr>
      </w:pPr>
      <w:r>
        <w:rPr>
          <w:lang w:val="el" w:eastAsia="el"/>
        </w:rPr>
        <w:t>5. Τον κατάλογο της Γραμματείας Συντονιστικού Οργάνου της Σύμβασης σχετικά με τις Αρμόδιες Αρχές που έχουν υπογράψει την ΠΣΑΑ και μεταξύ των οποίων αυτή η Συμφωνία είναι σε ισχύ και εφαρμογή (Παράρτημα Ε' της Συμφωνίας), όπως δημοσιεύθηκε και αναθεωρήθηκε στον ιστότοπο του ΟΟΣΑ, σύμφωνα με τις διατάξεις του Τμήματος 7 παρ. 2.2 της ίδιας Συμφωνίας, σε συνδυασμό με τις Γνωστοποιήσεις του Τμήματος 7 παρ. 1 των άλλων δικαιοδοσιών, όπως γνωστοποιήθηκαν από τον ΟΟΣΑ στην Αρμόδια Αρχή της Ελληνικής Δημοκρατίας και την σχετική ηλεκτρονική αλληλογραφία με τον ΟΟΣΑ, έως την 31.8.2017.</w:t>
      </w:r>
    </w:p>
    <w:p>
      <w:pPr>
        <w:spacing w:before="240" w:after="240"/>
        <w:rPr>
          <w:lang w:val="el" w:eastAsia="el"/>
        </w:rPr>
      </w:pPr>
      <w:r>
        <w:rPr>
          <w:lang w:val="el" w:eastAsia="el"/>
        </w:rPr>
        <w:t>6. Τις Γνωστοποιήσεις του Τμήματος 7 παρ. 1 περίπτ. β' της ΠΣΑΑ ως προς τις δικαιοδοσίες Ανγκουίλα, Βερμούδες, Βρετανικές Παρθένοι Νήσοι, Νήσοι Κάιμαν, Νήσοι Τερκ και Κάικος και Μοντσεράτ, όπως έχουν υποβληθεί στη Γραμματεία Συντονιστικού Οργάνου της Σύμβασης και γνωστοποιηθεί στην Αρμόδια Αρχή της Ελληνικής Δημοκρατίας και σύμφωνα με τις οποίες οι εν λόγω δικαιοδοσίες δεν θα λαμβάνουν τις πληροφορίες του Τμήματος 2 παρ. 2 της ΠΣΑΑ.</w:t>
      </w:r>
    </w:p>
    <w:p>
      <w:pPr>
        <w:spacing w:before="240" w:after="240"/>
        <w:rPr>
          <w:lang w:val="el" w:eastAsia="el"/>
        </w:rPr>
      </w:pPr>
      <w:r>
        <w:rPr>
          <w:lang w:val="el" w:eastAsia="el"/>
        </w:rPr>
        <w:t>7. Τα Σχόλια του ΟΟΣΑ επί του ΚΠΑ, όπως εγκρίθηκαν από το Συμβούλιο του ΟΟΣΑ στις 15 Ιουλίου 2014 και ισχύουν.</w:t>
      </w:r>
    </w:p>
    <w:p>
      <w:pPr>
        <w:spacing w:before="240" w:after="240"/>
        <w:rPr>
          <w:lang w:val="el" w:eastAsia="el"/>
        </w:rPr>
      </w:pPr>
      <w:r>
        <w:rPr>
          <w:lang w:val="el" w:eastAsia="el"/>
        </w:rPr>
        <w:t>8. Την αριθμ. Δ.ΟΡΓ.Α 1036960/10.3.2017 απόφαση του Διοικητή της ΑΑΔΕ «Οργανισμός της Ανεξάρτητης Αρχής Δημοσίων Εσόδων (Α.Α.Δ.Ε.)» (Β' 968).</w:t>
      </w:r>
    </w:p>
    <w:p>
      <w:pPr>
        <w:spacing w:before="240" w:after="240"/>
        <w:rPr>
          <w:lang w:val="el" w:eastAsia="el"/>
        </w:rPr>
      </w:pPr>
      <w:r>
        <w:rPr>
          <w:lang w:val="el" w:eastAsia="el"/>
        </w:rPr>
        <w:t>9.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 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lang w:val="el" w:eastAsia="el"/>
        </w:rPr>
        <w:t>10. Την αριθμ.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w:t>
      </w:r>
    </w:p>
    <w:p>
      <w:pPr>
        <w:spacing w:before="240" w:after="240"/>
        <w:rPr>
          <w:lang w:val="el" w:eastAsia="el"/>
        </w:rPr>
      </w:pPr>
      <w:r>
        <w:rPr>
          <w:lang w:val="el" w:eastAsia="el"/>
        </w:rPr>
        <w:t>11. Την εισήγηση της Δ/νσης ΔΟΣ της ΑΑΔΕ ως αρμόδιας αρχής κατά το άρθρο 5 παρ. 1 του ν. 4170/2013 και κατά το άρθρο δεύτερο παρ. 1 του ν. 4428/2016.</w:t>
      </w:r>
    </w:p>
    <w:p>
      <w:pPr>
        <w:spacing w:before="240" w:after="240"/>
        <w:rPr>
          <w:lang w:val="el" w:eastAsia="el"/>
        </w:rPr>
      </w:pPr>
      <w:r>
        <w:rPr>
          <w:lang w:val="el" w:eastAsia="el"/>
        </w:rPr>
        <w:t>12. Την ανάγκη ρύθμισης όλων των σχετικών θεμάτων προκειμένου να εφαρμοστεί ομαλά και απρόσκοπτα το πλαίσιο της αυτόματης ανταλλαγής πληροφοριών χρηματοοικονομικών λογαριασμών.</w:t>
      </w:r>
    </w:p>
    <w:p>
      <w:pPr>
        <w:spacing w:before="240" w:after="240"/>
        <w:rPr>
          <w:lang w:val="el" w:eastAsia="el"/>
        </w:rPr>
      </w:pPr>
      <w:r>
        <w:rPr>
          <w:lang w:val="el" w:eastAsia="el"/>
        </w:rPr>
        <w:t xml:space="preserve">13. Το γεγονός ότι από τις διατάξεις της παρούσας απόφασης δεν προκαλείται δαπάνη σε βάρος του προϋπολογισμού της ΑΑΔΕ,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Κατάλογος με τις Δηλωτέες Δικαιοδοσίες</w:t>
      </w:r>
    </w:p>
    <w:p>
      <w:pPr>
        <w:spacing w:before="240" w:after="240"/>
        <w:rPr>
          <w:lang w:val="el" w:eastAsia="el"/>
        </w:rPr>
      </w:pPr>
      <w:r>
        <w:rPr>
          <w:lang w:val="el" w:eastAsia="el"/>
        </w:rPr>
        <w:t>Για την αυτόματη ανταλλαγή πληροφοριών χρηματοοικονομικών λογαριασμών που διενεργείται κατά το έτος 2017, αναφορικά με πληροφορίες του έτους 2016, ορίζεται ο κατάλογος των Δηλωτέων Δικαιοδοσιών έναντι της Ελλάδας, κατά την έννοια του ορισμού του άρθρου τρίτου, Παράρτημα Ι, Τμήμα VIII Ενότητα Δ' παρ. 4 του ν. 4428/2016, ως εξής: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65"/>
        <w:gridCol w:w="430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ΔΗΛΩΤΕΕΣ ΔΙΚΑΙΟΔΟΣΙΕΣ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Argentina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Φερόες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Faroe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Χώρες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Netherlands (in respect to the islands of Bonaire, Sint Eustatius and Saba)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Seychelles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r>
    </w:tbl>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αυτόματη ανταλλαγή πληροφοριών χρηματοοικονομικών λογαριασμών που διενεργείται κατά το έτος 2018, αναφορικά με πληροφορίες του έτους 2017, ως Δηλωτέες Δικαιοδοσίες έναντι της Ελλάδας, κατά την έννοια του ορισμού του άρθρου τρίτου, Παράρτημα Ι, Τμήμα VIII, Ενότητα Δ', παρ. 4 του ν. 4428/2016, λογίζονται όλες οι Δικαιοδοσίες που περιλαμβάνονται στην παρ. 1 και προστίθενται οι ακόλουθες Δικαιοδοσίες:</w:t>
      </w:r>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Γροιλανδία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Greenland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Mauritius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Russian Federation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r>
    </w:tbl>
    <w:p>
      <w:pPr>
        <w:pStyle w:val="MainText"/>
        <w:spacing w:before="120" w:after="0"/>
        <w:rPr>
          <w:lang w:val="el" w:eastAsia="el"/>
        </w:rPr>
      </w:pPr>
      <w:r>
        <w:rPr>
          <w:b/>
          <w:bCs/>
          <w:lang w:val="el" w:eastAsia="el"/>
        </w:rPr>
        <w:t>3.</w:t>
      </w:r>
      <w:r>
        <w:rPr>
          <w:b/>
          <w:bCs/>
          <w:lang w:val="el" w:eastAsia="el"/>
        </w:rPr>
        <w:t xml:space="preserve"> Για την αυτόματη ανταλλαγή πληροφοριών χρηματοοικονομικών λογαριασμών που διενεργείται κατά το έτος 2019, ως Δηλωτέες Δικαιοδοσίες έναντι της Ελλάδας, κατά την έννοια του ορισμού του άρθρου τρίτου, Παράρτημα Ι, Τμήμα VIII Ενότητα Δ’ παρ. 4 του ν. 4428/2016, λογίζονται οι Δικαιοδοσίες των παρ. 1 και 2 αναφορικά με πληροφορίες του έτους 2018, με την προσθήκη των ακόλουθων Δικαιοδοσιών αναφορικά με πληροφορίες του έτους 2018 ή/και του έτους 2017, αναλόγως της περίπτωσης: </w:t>
      </w:r>
      <w:r>
        <w:rPr>
          <w:rStyle w:val="Hyperlink"/>
          <w:b/>
          <w:bCs/>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2249"/>
        <w:gridCol w:w="2230"/>
        <w:gridCol w:w="2069"/>
        <w:gridCol w:w="20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Αναφορικά με πληροφορίες έτους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Αναφορικά με πληροφορίες έτους 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Antigua and Barbuda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Azerbaijan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Cook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Χονγκ Κονγκ,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Hong Kong,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bl>
    <w:p>
      <w:pPr>
        <w:spacing w:before="240" w:after="240"/>
        <w:rPr>
          <w:lang w:val="el" w:eastAsia="el"/>
        </w:rPr>
      </w:pPr>
      <w:r>
        <w:rPr>
          <w:b/>
          <w:bCs/>
          <w:i/>
          <w:iCs/>
          <w:lang w:val="el" w:eastAsia="el"/>
        </w:rPr>
        <w:t>* Η Αρμόδια Αρχή της Ελλάδας πρόκειται να αποστείλει πληροφορίες στην εν λόγω Δικαιοδοσία αναφορικά με το έτος 2017, υπό τον όρο της αμοιβαιότητας.</w:t>
      </w:r>
    </w:p>
    <w:p>
      <w:pPr>
        <w:spacing w:before="240" w:after="240"/>
        <w:rPr>
          <w:lang w:val="el" w:eastAsia="el"/>
        </w:rPr>
      </w:pPr>
      <w:r>
        <w:rPr>
          <w:b/>
          <w:bCs/>
          <w:i/>
          <w:iCs/>
          <w:lang w:val="el" w:eastAsia="el"/>
        </w:rPr>
        <w:t>** Η Αρμόδια Αρχή της Ελλάδας πρόκειται να αποστείλει πληροφορίες στην εν λόγω Δικαιοδοσία αναφορικά με το έτος 2018, εφόσον η εν λόγω Δικαιοδοσία αναθεωρήσει τη Γνωστοποίηση του Τμήματος 7 παρ. 1 περίπτ. β’ της ΠΣΑΑ, προκειμένου να μεταπέσει σε αμοιβαία σχέση αυτόματης ανταλλαγής πληροφοριών.</w:t>
      </w:r>
      <w:r>
        <w:rPr>
          <w:rStyle w:val="Hyperlink"/>
          <w:b/>
          <w:bCs/>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b/>
          <w:bCs/>
          <w:lang w:val="el" w:eastAsia="el"/>
        </w:rPr>
        <w:t xml:space="preserve"> Για την αυτόματη ανταλλαγή πληροφοριών χρηματοοικονομικών λογαριασμών που διενεργείται κατά το έτος 2020, ως Δηλωτέες Δικαιοδοσίες έναντι της Ελλάδας, κατά την έννοια του ορισμού του άρθρου τρίτου, Παράρτημα Ι, Τμήμα VIII Ενότητα Δ’ παρ. 4 του ν. 4428/2016, λογίζονται οι Δικαιοδοσίες των παρ. 1, 2 και 3 αναφορικά με πληροφορίες του έτους 2019, με την προσθήκη των ακόλουθων Δικαιοδοσιών αναφορικά με πληροφορίες του έτους 2019 και του έτους 2018, αναλόγως της περίπτωσης:</w:t>
      </w:r>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395"/>
        <w:gridCol w:w="2349"/>
        <w:gridCol w:w="1962"/>
        <w:gridCol w:w="19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Lucia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Turkiye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bl>
    <w:p>
      <w:pPr>
        <w:pStyle w:val="MainText"/>
        <w:spacing w:before="120" w:after="0"/>
        <w:rPr>
          <w:lang w:val="el" w:eastAsia="el"/>
        </w:rPr>
      </w:pPr>
      <w:r>
        <w:rPr>
          <w:b/>
          <w:bCs/>
          <w:lang w:val="el" w:eastAsia="el"/>
        </w:rPr>
        <w:t>5.</w:t>
      </w:r>
      <w:r>
        <w:rPr>
          <w:b/>
          <w:bCs/>
          <w:lang w:val="el" w:eastAsia="el"/>
        </w:rPr>
        <w:t xml:space="preserve"> Για την αυτόματη ανταλλαγή πληροφοριών χρηματοοικονομικών λογαριασμών που διενεργείται κατά το έτος 2021, ως Δηλωτέες Δικαιοδοσίες έναντι της Ελλάδας, κατά την έννοια του ορισμού του άρθρου τρίτου, Παράρτημα Ι, Τμήμα VIII Ενότητα Δ’ παρ. 4 του ν. 4428/2016, λογίζονται οι Δικαιοδοσίες των παρ. 1, 2, 3 και 4 αναφορικά με πληροφορίες του έτους 2020, με την προσθήκη των ακόλουθων Δικαιοδοσιών αναφορικά με πληροφορίες του έτους 2020 και του έτους 2019, αναλόγως της περίπτωσης:</w:t>
      </w:r>
      <w:r>
        <w:rPr>
          <w:rStyle w:val="Hyperlink"/>
          <w:b/>
          <w:bCs/>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2249"/>
        <w:gridCol w:w="2230"/>
        <w:gridCol w:w="2069"/>
        <w:gridCol w:w="20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αναφορικά με πληροφορίες έτους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αναφορικά με πληροφορίες έτους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Gibraltar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Kingdom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Χ </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6.</w:t>
      </w:r>
      <w:r>
        <w:rPr>
          <w:b/>
          <w:bCs/>
          <w:lang w:val="el" w:eastAsia="el"/>
        </w:rPr>
        <w:t xml:space="preserve"> Για την αυτόματη ανταλλαγή πληροφοριών χρηματοοικονομικών λογαριασμών που διενεργείται κατά το έτος 2022, ως Δηλωτέες Δικαιοδοσίες έναντι της Ελλάδας, κατά την έννοια του ορισμού του άρθρου τρίτου, Παράρτημα Ι, Τμήμα VIII Ενότητα Δ' της παρ. 4 του ν. 4428/2016, αναφορικά με πληροφορίες του έτους 2021, λογίζονται οι Δικαιοδοσίες των παρ. 1, 2, 3, 4 και 5 πλην της Κόστα Ρίκα, με την προσθήκη των ακόλουθων Δικαιοδοσιών αναφορικά με πληροφορίες του έτους 2021 και του έτους 2020, αναλόγως της περίπτωσης:</w:t>
      </w:r>
      <w:r>
        <w:rPr>
          <w:rStyle w:val="Hyperlink"/>
          <w:b/>
          <w:bCs/>
          <w:color w:val="000000"/>
          <w:sz w:val="20"/>
          <w:szCs w:val="20"/>
          <w:u w:val="none" w:color="0000EE"/>
          <w:vertAlign w:val="superscript"/>
          <w:lang w:val="el" w:eastAsia="el"/>
        </w:rPr>
        <w:footnoteReference w:id="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393"/>
        <w:gridCol w:w="2347"/>
        <w:gridCol w:w="1965"/>
        <w:gridCol w:w="19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Ecuador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ΚαΖακστάν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Kazakhstan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bl>
    <w:p>
      <w:pPr>
        <w:pStyle w:val="MainText"/>
        <w:spacing w:before="120" w:after="0"/>
        <w:rPr>
          <w:lang w:val="el" w:eastAsia="el"/>
        </w:rPr>
      </w:pPr>
      <w:r>
        <w:rPr>
          <w:b/>
          <w:bCs/>
          <w:lang w:val="el" w:eastAsia="el"/>
        </w:rPr>
        <w:t>7.</w:t>
      </w:r>
      <w:r>
        <w:rPr>
          <w:b/>
          <w:bCs/>
          <w:lang w:val="el" w:eastAsia="el"/>
        </w:rPr>
        <w:t xml:space="preserve"> Για την αυτόματη ανταλλαγή πληροφοριών χρηματοοικονομικών λογαριασμών που διενεργείται κατά το έτος 2023, ως Δηλωτέες Δικαιοδοσίες έναντι της Ελλάδας, κατά την έννοια του ορισμού του άρθρου τρίτου, Παράρτημα Ι, Τμήμα VIII Ενότητα Δ' παρ. 4 του ν. 4428/2016, αναφορικά με πληροφορίες του έτους 2022, λογίζονται οι Δικαιοδοσίες των παρ. 1, 2, 3, 4, 5 και 6 πλην της Κόστα Ρίκα, με την προσθήκη των ακόλουθων Δικαιοδοσιών αναφορικά με πληροφορίες του έτους 2022 και του έτους 2021, αναλόγως της περίπτωσης: </w:t>
      </w:r>
      <w:r>
        <w:rPr>
          <w:rStyle w:val="Hyperlink"/>
          <w:b/>
          <w:bCs/>
          <w:color w:val="000000"/>
          <w:sz w:val="20"/>
          <w:szCs w:val="20"/>
          <w:u w:val="none" w:color="0000EE"/>
          <w:vertAlign w:val="superscript"/>
          <w:lang w:val="el" w:eastAsia="el"/>
        </w:rPr>
        <w:footnoteReference w:id="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393"/>
        <w:gridCol w:w="2347"/>
        <w:gridCol w:w="1965"/>
        <w:gridCol w:w="19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Ghana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Τζαμάικα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Jamaica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Μαλδίβες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Maldives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Χριστόφορος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Kitts and Nevis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bl>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8.</w:t>
      </w:r>
      <w:r>
        <w:rPr>
          <w:b/>
          <w:bCs/>
          <w:lang w:val="el" w:eastAsia="el"/>
        </w:rPr>
        <w:t xml:space="preserve"> Για την αυτόματη ανταλλαγή πληροφοριών χρηματοοικονομικών λογαριασμών που διενεργείται κατά το έτος 2024, ως Δηλωτέες Δικαιοδοσίες έναντι της Ελλάδας, κατά την έννοια του ορισμού του άρθρου τρίτου, Παράρτημα Ι, Τμήμα VIII Ενότητα Δ' παρ. 4 του ν. 4428/2016, αναφορικά με πληροφορίες του έτους 2023, λογίζονται οι Δικαιοδοσίες των παρ. 1, 2, 3, 4, 5, 6 και 7, πλην της Αντίγκουα και Μπαρμπούντα, με την προσθήκη των ακόλουθων Δικαιοδοσιών αναφορικά με πληροφορίες του έτους 2023 και του έτους 2022, αναλόγως της περίπτωσης:</w:t>
      </w:r>
      <w:r>
        <w:rPr>
          <w:rStyle w:val="Hyperlink"/>
          <w:b/>
          <w:bCs/>
          <w:color w:val="000000"/>
          <w:sz w:val="20"/>
          <w:szCs w:val="20"/>
          <w:u w:val="none" w:color="0000EE"/>
          <w:vertAlign w:val="superscript"/>
          <w:lang w:val="el" w:eastAsia="el"/>
        </w:rPr>
        <w:footnoteReference w:id="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899"/>
        <w:gridCol w:w="1947"/>
        <w:gridCol w:w="1911"/>
        <w:gridCol w:w="19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 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Aruba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Georgia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Kenya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Ταϊλάνδη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Thailand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bl>
    <w:p>
      <w:pPr>
        <w:spacing w:before="240" w:after="240"/>
        <w:rPr>
          <w:lang w:val="el" w:eastAsia="el"/>
        </w:rPr>
      </w:pPr>
      <w:r>
        <w:rPr>
          <w:b/>
          <w:bCs/>
          <w:lang w:val="el" w:eastAsia="el"/>
        </w:rPr>
        <w:t>*Η εν λόγω Δικαιοδοσία λογίζεται ως Δηλωτέα Δικαιοδοσία εφόσον η ΠΣΑΑ τεθεί σε ισχύ και εφαρμογή έναντι της Ελλάδας.</w:t>
      </w:r>
      <w:r>
        <w:rPr>
          <w:rStyle w:val="Hyperlink"/>
          <w:b/>
          <w:bCs/>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Στην περίπτωση της Δικαιοδοσίας της παρ. 5 με α/α 1, αυτή λογίζεται ως Δηλωτέα Δικαιοδοσία έναντι της Ελλάδας, για την αυτόματη ανταλλαγή πληροφοριών χρηματοοικονομικών λογαριασμών που διενεργείται κατά το έτος 2024, αναφορικά με πληροφορίες του έτους 2023 και 2022.</w:t>
      </w:r>
      <w:r>
        <w:rPr>
          <w:rStyle w:val="Hyperlink"/>
          <w:b/>
          <w:bCs/>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9.</w:t>
      </w:r>
      <w:r>
        <w:rPr>
          <w:b/>
          <w:bCs/>
          <w:lang w:val="el" w:eastAsia="el"/>
        </w:rPr>
        <w:t xml:space="preserve"> Για την αυτόματη ανταλλαγή πληροφοριών χρηματοοικονομικών λογαριασμών που διενεργείται κατά το έτος 2025, ως Δηλωτέες Δικαιοδοσίες έναντι της Ελλάδας, κατά την έννοια του ορισμού του άρθρου τρίτου, Παράρτημα Ι, Τμήμα VIII Ενότητα Δ' παρ. 4 του ν. 4428/2016, αναφορικά με πληροφορίες του έτους 2024, λογίζονται οι Δικαιοδοσίες των παρ. 1, 2, 3, 4, 5, 6, 7 και 8, με την προσθήκη των ακόλουθων Δικαιοδοσιών αναφορικά με πληροφορίες του έτους 2024 και του έτους 2023, αναλόγως της περίπτωσης:</w:t>
      </w:r>
      <w:r>
        <w:rPr>
          <w:rStyle w:val="Hyperlink"/>
          <w:b/>
          <w:bCs/>
          <w:color w:val="000000"/>
          <w:sz w:val="20"/>
          <w:szCs w:val="20"/>
          <w:u w:val="none" w:color="0000EE"/>
          <w:vertAlign w:val="superscript"/>
          <w:lang w:val="el" w:eastAsia="el"/>
        </w:rPr>
        <w:footnoteReference w:id="1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393"/>
        <w:gridCol w:w="2347"/>
        <w:gridCol w:w="1965"/>
        <w:gridCol w:w="19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Armenia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Μολδαβία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Moldova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Ουγκάντα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Uganda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Ουκρανία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Ukraine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bl>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 xml:space="preserve">Κατάλογος με τις Συμμετέχουσες Δικαιοδοσίες </w:t>
      </w:r>
    </w:p>
    <w:p>
      <w:pPr>
        <w:spacing w:before="240" w:after="240"/>
        <w:rPr>
          <w:lang w:val="el" w:eastAsia="el"/>
        </w:rPr>
      </w:pPr>
      <w:r>
        <w:rPr>
          <w:b/>
          <w:bCs/>
          <w:lang w:val="el" w:eastAsia="el"/>
        </w:rPr>
        <w:t>Ορίζεται ο κατάλογος με τις Συμμετέχουσες Δικαιοδοσίες έναντι της Ελλάδας, κατά την έννοια των ορισμών του Κεφαλαίου Η', Παράρτημα Ι, Τμήμα VIII Ενότητα Δ' παρ. 4 του ν. 4170/2013 και του άρθρου τρίτου, παρ. 1, Τμήμα VIII, Ενότητα Δ' παρ. 5 του ν. 4428/2016, ως εξής:</w:t>
      </w:r>
      <w:r>
        <w:rPr>
          <w:rStyle w:val="Hyperlink"/>
          <w:b/>
          <w:bCs/>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 </w:t>
      </w:r>
    </w:p>
    <w:p>
      <w:pPr>
        <w:spacing w:before="240" w:after="240"/>
        <w:rPr>
          <w:lang w:val="el" w:eastAsia="el"/>
        </w:rPr>
      </w:pPr>
      <w:r>
        <w:rPr>
          <w:b/>
          <w:bCs/>
          <w:lang w:val="el" w:eastAsia="el"/>
        </w:rPr>
        <w:t> Α. Για την εφαρμογή των κανόνων υποβολής στοιχείων και δέουσας επιμέλειας αναφορικά με το έτος 2016:</w:t>
      </w:r>
    </w:p>
    <w:p>
      <w:pPr>
        <w:spacing w:before="240" w:after="240"/>
        <w:rPr>
          <w:lang w:val="el" w:eastAsia="el"/>
        </w:rPr>
      </w:pPr>
      <w:r>
        <w:rPr>
          <w:b/>
          <w:bCs/>
          <w:lang w:val="el" w:eastAsia="el"/>
        </w:rPr>
        <w:t> Πίνακας Α'</w:t>
      </w:r>
      <w:r>
        <w:rPr>
          <w:rStyle w:val="Hyperlink"/>
          <w:b/>
          <w:bCs/>
          <w:color w:val="000000"/>
          <w:sz w:val="20"/>
          <w:szCs w:val="20"/>
          <w:u w:val="none" w:color="0000EE"/>
          <w:vertAlign w:val="superscript"/>
          <w:lang w:val="el" w:eastAsia="el"/>
        </w:rPr>
        <w:footnoteReference w:id="1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ΣΥΜΜΕΤΕΧΟΥΣΕΣ ΔΙΚΑΙΟΔΟΣΙΕΣ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Ανδόρα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Andorra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Anguilla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Argentina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Barbados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Βέλγιο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Belgium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Bermuda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British Virgin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Bulgaria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Cook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Croatia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Cyprus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Τσεχική Δημοκρατία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Czech Republic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Denmark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Εσθονία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Estonia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Φερόες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Faroe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Φινλανδία1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Finland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Γαλλία2,3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France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Germany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Gibraltar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Γροιλανδία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Greenland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Hungary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Ireland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Ιταλία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Italy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Λετονία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Latvia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Liechtenstein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Λιθουανία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Lithuania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Λουξεμβούργο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Luxembourg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Μάλτα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Mauritius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Monaco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Montserrat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Nauru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Χώρες4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Netherlands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Poland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Πορτογαλία5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Portugal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Romania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Vincent  and  the Grenadines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Samoa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 Marino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Seychelles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Σλοβακία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Slovakia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Σλοβενία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Slovenia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Ισπανία6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Spain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Sweden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Ελβετία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Switzerland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Turks and Caicos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Kingdom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r>
    </w:tbl>
    <w:p>
      <w:pPr>
        <w:pStyle w:val="MainText"/>
        <w:spacing w:before="120" w:after="0"/>
        <w:rPr>
          <w:lang w:val="el" w:eastAsia="el"/>
        </w:rPr>
      </w:pPr>
      <w:r>
        <w:rPr>
          <w:b/>
          <w:bCs/>
          <w:lang w:val="el" w:eastAsia="el"/>
        </w:rPr>
        <w:t>1.</w:t>
      </w:r>
      <w:r>
        <w:rPr>
          <w:b/>
          <w:bCs/>
          <w:lang w:val="el" w:eastAsia="el"/>
        </w:rPr>
        <w:t xml:space="preserve"> Συμπεριλαμβάνονται: Νήσοι Ώλαντ (Åland Islands).</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b/>
          <w:bCs/>
          <w:lang w:val="el" w:eastAsia="el"/>
        </w:rPr>
        <w:t xml:space="preserve"> Συμπεριλαμβάνονται: Γουαδελούπη (Guadeloupe), Γουιάνα (French Guiana), Μαρτινίκα (Martinique), </w:t>
      </w:r>
      <w:r>
        <w:rPr>
          <w:rStyle w:val="Hyperlink"/>
          <w:b/>
          <w:bCs/>
          <w:color w:val="000000"/>
          <w:sz w:val="20"/>
          <w:szCs w:val="20"/>
          <w:u w:val="none" w:color="0000EE"/>
          <w:vertAlign w:val="superscript"/>
          <w:lang w:val="el" w:eastAsia="el"/>
        </w:rPr>
        <w:footnoteReference w:id="16"/>
      </w:r>
      <w:r>
        <w:rPr>
          <w:b/>
          <w:bCs/>
          <w:lang w:val="el" w:eastAsia="el"/>
        </w:rPr>
        <w:t>Ρεϊνιόν (Réunion), Άγιος Μαρτίνος (Saint Martin), Μαγιότ (Mayotte).</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b/>
          <w:bCs/>
          <w:lang w:val="el" w:eastAsia="el"/>
        </w:rPr>
        <w:t xml:space="preserve"> Συμπεριλαμβάνεται: Άγιος Βαρθολομαίος (Saint Barthélemy).</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b/>
          <w:bCs/>
          <w:lang w:val="el" w:eastAsia="el"/>
        </w:rPr>
        <w:t xml:space="preserve"> Συμπεριλαμβάνονται: Μποναίρ (Bonaire), Άγιος Ευ- στάθιος (Sint Eustatius), Σάμπα (Saba).</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b/>
          <w:bCs/>
          <w:lang w:val="el" w:eastAsia="el"/>
        </w:rPr>
        <w:t xml:space="preserve"> Συμπεριλαμβάνονται: Αζόρες (Azores), Μαδέρα (Madeira.)</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b/>
          <w:bCs/>
          <w:lang w:val="el" w:eastAsia="el"/>
        </w:rPr>
        <w:t xml:space="preserve"> Συμπεριλαμβάνονται: Κανάριες Νήσοι (Canary Islands).</w:t>
      </w:r>
      <w:r>
        <w:rPr>
          <w:rStyle w:val="Hyperlink"/>
          <w:b/>
          <w:bCs/>
          <w:color w:val="000000"/>
          <w:sz w:val="20"/>
          <w:szCs w:val="20"/>
          <w:u w:val="none" w:color="0000EE"/>
          <w:vertAlign w:val="superscript"/>
          <w:lang w:val="el" w:eastAsia="el"/>
        </w:rPr>
        <w:footnoteReference w:id="21"/>
      </w:r>
    </w:p>
    <w:p>
      <w:pPr>
        <w:spacing w:before="240" w:after="240"/>
        <w:rPr>
          <w:lang w:val="el" w:eastAsia="el"/>
        </w:rPr>
      </w:pPr>
      <w:r>
        <w:rPr>
          <w:b/>
          <w:bCs/>
          <w:lang w:val="el" w:eastAsia="el"/>
        </w:rPr>
        <w:t>Β. Για την εφαρμογή των κανόνων υποβολής στοιχείων και δέουσας επιμέλειας αναφορικά με τα έτη 2017 και 2018:</w:t>
      </w:r>
      <w:r>
        <w:rPr>
          <w:rStyle w:val="Hyperlink"/>
          <w:b/>
          <w:bCs/>
          <w:color w:val="000000"/>
          <w:sz w:val="20"/>
          <w:szCs w:val="20"/>
          <w:u w:val="none" w:color="0000EE"/>
          <w:vertAlign w:val="superscript"/>
          <w:lang w:val="el" w:eastAsia="el"/>
        </w:rPr>
        <w:footnoteReference w:id="22"/>
      </w:r>
    </w:p>
    <w:p>
      <w:pPr>
        <w:spacing w:before="240" w:after="240"/>
        <w:rPr>
          <w:lang w:val="el" w:eastAsia="el"/>
        </w:rPr>
      </w:pPr>
      <w:r>
        <w:rPr>
          <w:b/>
          <w:bCs/>
          <w:lang w:val="el" w:eastAsia="el"/>
        </w:rPr>
        <w:t xml:space="preserve">Συμμετέχουσες Δικαιοδοσίες είναι όλες οι Δικαιοδοσίες που περιλαμβάνονται στον Πίνακα Α' του παρόντος άρθρου και προστίθενται οι ακόλουθες Δικαιοδοσίες: </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 xml:space="preserve">Β. Για την εφαρμογή των κανόνων υποβολής στοιχείων και δέουσας επιμέλειας αναφορικά με το έτος 2017: Συμμετέχουσες Δικαιοδοσίες είναι όλες οι Δικαιοδοσίες που περιλαμβάνονται στον Πίνακα Α’ του παρόντος άρθρου και προστίθενται οι ακόλουθες Δικαιοδοσίες: </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Πίνακας Β’</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4357"/>
        <w:gridCol w:w="4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Russian Federation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Lucia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r>
    </w:tbl>
    <w:p>
      <w:pPr>
        <w:spacing w:before="240" w:after="240"/>
        <w:rPr>
          <w:lang w:val="el" w:eastAsia="el"/>
        </w:rPr>
      </w:pPr>
      <w:r>
        <w:rPr>
          <w:b/>
          <w:bCs/>
          <w:lang w:val="el" w:eastAsia="el"/>
        </w:rPr>
        <w:t>Οι Συμμετέχουσες Δικαιοδοσίες, όπως ορίζονται στο σημείο Β’ του παρόντος άρθρου, λαμβάνονται υπόψη για την εφαρμογή των κανόνων υποβολής στοιχείων και δέουσας επιμέλειας από την 1η Ιανουαρίου 2017.</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Γ. Για την εφαρμογή των κανόνων υποβολής στοιχείων και δέουσας επιμέλειας αναφορικά με το έτος 2018:</w:t>
      </w:r>
    </w:p>
    <w:p>
      <w:pPr>
        <w:spacing w:before="240" w:after="240"/>
        <w:rPr>
          <w:lang w:val="el" w:eastAsia="el"/>
        </w:rPr>
      </w:pPr>
      <w:r>
        <w:rPr>
          <w:b/>
          <w:bCs/>
          <w:lang w:val="el" w:eastAsia="el"/>
        </w:rPr>
        <w:t>Συμμετέχουσες Δικαιοδοσίες είναι όλες οι Δικαιοδοσίες που περιλαμβάνονται στους Πίνακες Α’και Β’ του παρόντος άρθρου και προστίθενται οι ακόλουθες Δικαιοδοσίες:</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Πίνακας Γ’</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4357"/>
        <w:gridCol w:w="4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Antigua and Barbuda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Aruba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Azerbaijan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Bahamas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Grenada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Χονγκ Κονγκ,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Hong Kong, China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Israel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Μακάο,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Macao, China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Marshall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Χριστόφορος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Kitts and Nevis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Arab Emirates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Vanuatu</w:t>
            </w:r>
          </w:p>
        </w:tc>
      </w:tr>
    </w:tbl>
    <w:p>
      <w:pPr>
        <w:spacing w:before="240" w:after="240"/>
        <w:rPr>
          <w:lang w:val="el" w:eastAsia="el"/>
        </w:rPr>
      </w:pPr>
      <w:r>
        <w:rPr>
          <w:b/>
          <w:bCs/>
          <w:lang w:val="el" w:eastAsia="el"/>
        </w:rPr>
        <w:t>Οι Συμμετέχουσες Δικαιοδοσίες, όπως ορίζονται στο σημείο Γ’ του παρόντος άρθρου, λαμβάνονται υπόψη για την εφαρμογή των κανόνων υποβολής στοιχείων και δέουσας επιμέλειας από την 1η Ιανουαρίου 2018.</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 </w:t>
      </w:r>
    </w:p>
    <w:p>
      <w:pPr>
        <w:spacing w:before="240" w:after="240"/>
        <w:rPr>
          <w:lang w:val="el" w:eastAsia="el"/>
        </w:rPr>
      </w:pPr>
      <w:r>
        <w:rPr>
          <w:b/>
          <w:bCs/>
          <w:lang w:val="el" w:eastAsia="el"/>
        </w:rPr>
        <w:t>Δ. Για την εφαρμογή των κανόνων υποβολής στοιχείων και δέουσας επιμέλειας αναφορικά με το έτος 2019: Συμμετέχουσες Δικαιοδοσίες είναι όλες οι Δικαιοδοσίες που περιλαμβάνονται στους Πίνακες Α’, Β’ και Γ’ του παρόντος άρθρου και προστίθενται οι ακόλουθες Δικαιοδοσίες:</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Πίνακας Δ’</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Brunei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Ντομίνικα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Dominica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Ghana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Niue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Turkiye</w:t>
            </w:r>
          </w:p>
        </w:tc>
      </w:tr>
    </w:tbl>
    <w:p>
      <w:pPr>
        <w:spacing w:before="240" w:after="240"/>
        <w:rPr>
          <w:lang w:val="el" w:eastAsia="el"/>
        </w:rPr>
      </w:pPr>
      <w:r>
        <w:rPr>
          <w:b/>
          <w:bCs/>
          <w:lang w:val="el" w:eastAsia="el"/>
        </w:rPr>
        <w:t>Οι Συμμετέχουσες Δικαιοδοσίες, όπως ορίζονται στο σημείο Δ’ του παρόντος άρθρου, λαμβάνονται υπόψη για την εφαρμογή των κανόνων υποβολής στοιχείων και δέουσας επιμέλειας από την 1η Ιανουαρίου 2019.</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 Οι εν λόγω Δικαιοδοσίες λογίζονται ως Συμμετέχουσες εφόσον η ΠΣΑΑ τεθεί σε ισχύ και εφαρμογή έναντι της Ελλάδας.</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Ε. Για την εφαρμογή των κανόνων υποβολής στοιχείων και δέουσας επιμέλειας αναφορικά με το έτος 2020:</w:t>
      </w:r>
      <w:r>
        <w:rPr>
          <w:rStyle w:val="Hyperlink"/>
          <w:b/>
          <w:bCs/>
          <w:color w:val="000000"/>
          <w:sz w:val="20"/>
          <w:szCs w:val="20"/>
          <w:u w:val="none" w:color="0000EE"/>
          <w:vertAlign w:val="superscript"/>
          <w:lang w:val="el" w:eastAsia="el"/>
        </w:rPr>
        <w:footnoteReference w:id="34"/>
      </w:r>
    </w:p>
    <w:p>
      <w:pPr>
        <w:spacing w:before="240" w:after="240"/>
        <w:rPr>
          <w:lang w:val="el" w:eastAsia="el"/>
        </w:rPr>
      </w:pPr>
      <w:r>
        <w:rPr>
          <w:b/>
          <w:bCs/>
          <w:lang w:val="el" w:eastAsia="el"/>
        </w:rPr>
        <w:t>Συμμετέχουσες Δικαιοδοσίες είναι όλες οι Δικαιοδοσίες που περιλαμβάνονται στους Πίνακες Α', Β', Γ' και Δ' του παρόντος άρθρου και προστίθενται οι ακόλουθες Δικαιοδοσίες:</w:t>
      </w:r>
      <w:r>
        <w:rPr>
          <w:rStyle w:val="Hyperlink"/>
          <w:b/>
          <w:bCs/>
          <w:color w:val="000000"/>
          <w:sz w:val="20"/>
          <w:szCs w:val="20"/>
          <w:u w:val="none" w:color="0000EE"/>
          <w:vertAlign w:val="superscript"/>
          <w:lang w:val="el" w:eastAsia="el"/>
        </w:rPr>
        <w:footnoteReference w:id="35"/>
      </w:r>
    </w:p>
    <w:p>
      <w:pPr>
        <w:spacing w:before="240" w:after="240"/>
        <w:rPr>
          <w:lang w:val="el" w:eastAsia="el"/>
        </w:rPr>
      </w:pPr>
      <w:r>
        <w:rPr>
          <w:b/>
          <w:bCs/>
          <w:lang w:val="el" w:eastAsia="el"/>
        </w:rPr>
        <w:t>Πίνακας E'</w:t>
      </w:r>
      <w:r>
        <w:rPr>
          <w:rStyle w:val="Hyperlink"/>
          <w:b/>
          <w:bCs/>
          <w:color w:val="000000"/>
          <w:sz w:val="20"/>
          <w:szCs w:val="20"/>
          <w:u w:val="none" w:color="0000EE"/>
          <w:vertAlign w:val="superscript"/>
          <w:lang w:val="el" w:eastAsia="el"/>
        </w:rPr>
        <w:footnoteReference w:id="3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Καληδονία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Caledonia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Peru</w:t>
            </w:r>
          </w:p>
        </w:tc>
      </w:tr>
    </w:tbl>
    <w:p>
      <w:pPr>
        <w:spacing w:before="240" w:after="240"/>
        <w:rPr>
          <w:lang w:val="el" w:eastAsia="el"/>
        </w:rPr>
      </w:pPr>
      <w:r>
        <w:rPr>
          <w:b/>
          <w:bCs/>
          <w:lang w:val="el" w:eastAsia="el"/>
        </w:rPr>
        <w:t>Οι Συμμετέχουσες Δικαιοδοσίες, όπως ορίζονται στο σημείο Ε' του παρόντος άρθρου, λαμβάνονται υπόψη για την εφαρμογή των κανόνων υποβολής στοιχείων και δέουσας επιμέλειας από την 1η Ιανουαρίου 2020.</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 </w:t>
      </w:r>
    </w:p>
    <w:p>
      <w:pPr>
        <w:spacing w:before="240" w:after="240"/>
        <w:rPr>
          <w:lang w:val="el" w:eastAsia="el"/>
        </w:rPr>
      </w:pPr>
      <w:r>
        <w:rPr>
          <w:b/>
          <w:bCs/>
          <w:lang w:val="el" w:eastAsia="el"/>
        </w:rPr>
        <w:t>ΣΤ. Για την εφαρμογή των κανόνων υποβολής στοιχείων και δέουσας επιμέλειας αναφορικά με το έτος 2021:</w:t>
      </w:r>
      <w:r>
        <w:rPr>
          <w:rStyle w:val="Hyperlink"/>
          <w:b/>
          <w:bCs/>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Συμμετέχουσες Δικαιοδοσίες είναι όλες οι Δικαιοδοσίες που περιλαμβάνονται στους Πίνακες Α', Β', Γ', Δ' και Ε' του παρόντος άρθρου και προστίθενται οι ακόλουθες Δικαιοδοσίες:</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Πίνακας ΣΤ'</w:t>
      </w:r>
      <w:r>
        <w:rPr>
          <w:rStyle w:val="Hyperlink"/>
          <w:b/>
          <w:bCs/>
          <w:color w:val="000000"/>
          <w:sz w:val="20"/>
          <w:szCs w:val="20"/>
          <w:u w:val="none" w:color="0000EE"/>
          <w:vertAlign w:val="superscript"/>
          <w:lang w:val="el" w:eastAsia="el"/>
        </w:rPr>
        <w:footnoteReference w:id="4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Ecuador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ΚαΖακστάν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Kazakhstan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Μαλδίβες*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Maldives</w:t>
            </w:r>
          </w:p>
        </w:tc>
      </w:tr>
    </w:tbl>
    <w:p>
      <w:pPr>
        <w:spacing w:before="240" w:after="240"/>
        <w:rPr>
          <w:lang w:val="el" w:eastAsia="el"/>
        </w:rPr>
      </w:pPr>
      <w:r>
        <w:rPr>
          <w:b/>
          <w:bCs/>
          <w:lang w:val="el" w:eastAsia="el"/>
        </w:rPr>
        <w:t>Οι Συμμετέχουσες Δικαιοδοσίες, όπως ορίζονται στο σημείο ΣΤ' του παρόντος άρθρου, λαμβάνονται υπόψη για την εφαρμογή των κανόνων υποβολής στοιχείων και δέουσας επιμέλειας από την 1η Ιανουαρίου 2021.</w:t>
      </w:r>
      <w:r>
        <w:rPr>
          <w:rStyle w:val="Hyperlink"/>
          <w:b/>
          <w:bCs/>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*Η εν λόγω Δικαιοδοσία λογίζεται ως Συμμετέχουσα εφόσον η ΠΣΑΑ τεθεί σε ισχύ και εφαρμογή έναντι της Ελλάδας.</w:t>
      </w:r>
      <w:r>
        <w:rPr>
          <w:rStyle w:val="Hyperlink"/>
          <w:b/>
          <w:bCs/>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 </w:t>
      </w:r>
    </w:p>
    <w:p>
      <w:pPr>
        <w:spacing w:before="240" w:after="240"/>
        <w:rPr>
          <w:lang w:val="el" w:eastAsia="el"/>
        </w:rPr>
      </w:pPr>
      <w:r>
        <w:rPr>
          <w:b/>
          <w:bCs/>
          <w:lang w:val="el" w:eastAsia="el"/>
        </w:rPr>
        <w:t xml:space="preserve">Ζ. Για την εφαρμογή των κανόνων υποβολής στοιχείων και δέουσας επιμέλειας αναφορικά με το έτος 2022: </w:t>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Συμμετέχουσες Δικαιοδοσίες είναι όλες οι Δικαιοδοσίες που περιλαμβάνονται στους Πίνακες Α, Β; Γ, Δ, Ε' και ΣΤ' του παρόντος άρθρου και προστίθενται οι ακόλουθες Δικαιοδοσίες:</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Πίνακας Ζ'</w:t>
      </w:r>
      <w:r>
        <w:rPr>
          <w:rStyle w:val="Hyperlink"/>
          <w:b/>
          <w:bCs/>
          <w:color w:val="000000"/>
          <w:sz w:val="20"/>
          <w:szCs w:val="20"/>
          <w:u w:val="none" w:color="0000EE"/>
          <w:vertAlign w:val="superscript"/>
          <w:lang w:val="el" w:eastAsia="el"/>
        </w:rPr>
        <w:footnoteReference w:id="4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Τζαμάικα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Jamaica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Μαρτίνος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Sint Maarten</w:t>
            </w:r>
          </w:p>
        </w:tc>
      </w:tr>
    </w:tbl>
    <w:p>
      <w:pPr>
        <w:spacing w:before="240" w:after="240"/>
        <w:rPr>
          <w:lang w:val="el" w:eastAsia="el"/>
        </w:rPr>
      </w:pPr>
      <w:r>
        <w:rPr>
          <w:b/>
          <w:bCs/>
          <w:lang w:val="el" w:eastAsia="el"/>
        </w:rPr>
        <w:t xml:space="preserve">Οι Συμμετέχουσες Δικαιοδοσίες, όπως ορίζονται στο σημείο ΣΤ' του παρόντος άρθρου, λαμβάνονται υπόψη για την εφαρμογή των κανόνων υποβολής στοιχείων και δέουσας επιμέλειας από την 1η Ιανουαρίου 2022. </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Η. Για την εφαρμογή των κανόνων υποβολής στοιχείων και δέουσας επιμέλειας αναφορικά με το έτος 2023:</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Συμμετέχουσες Δικαιοδοσίες είναι όλες οι Δικαιοδοσίες που περιλαμβάνονται στους Πίνακες Α', Β', Γ', Δ', Ε', ΣΤ' και Ζ' του παρόντος άρθρου και προστίθενται οι ακόλουθες Δικαιοδοσίες:</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Πίνακας Η'</w:t>
      </w:r>
      <w:r>
        <w:rPr>
          <w:rStyle w:val="Hyperlink"/>
          <w:b/>
          <w:bCs/>
          <w:color w:val="000000"/>
          <w:sz w:val="20"/>
          <w:szCs w:val="20"/>
          <w:u w:val="none" w:color="0000EE"/>
          <w:vertAlign w:val="superscript"/>
          <w:lang w:val="el" w:eastAsia="el"/>
        </w:rPr>
        <w:footnoteReference w:id="4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Kenya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Ταϊλάνδη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Thailand</w:t>
            </w:r>
          </w:p>
        </w:tc>
      </w:tr>
    </w:tbl>
    <w:p>
      <w:pPr>
        <w:spacing w:before="240" w:after="240"/>
        <w:rPr>
          <w:lang w:val="el" w:eastAsia="el"/>
        </w:rPr>
      </w:pPr>
      <w:r>
        <w:rPr>
          <w:b/>
          <w:bCs/>
          <w:lang w:val="el" w:eastAsia="el"/>
        </w:rPr>
        <w:t>Οι Συμμετέχουσες Δικαιοδοσίες, όπως ορίζονται στο σημείο H' του παρόντος άρθρου, λαμβάνονται υπόψη για την εφαρμογή των κανόνων υποβολής στοιχείων και δέουσας επιμέλειας από την 1η Ιανουαρίου 2023.</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 </w:t>
      </w:r>
    </w:p>
    <w:p>
      <w:pPr>
        <w:spacing w:before="240" w:after="240"/>
        <w:rPr>
          <w:lang w:val="el" w:eastAsia="el"/>
        </w:rPr>
      </w:pPr>
      <w:r>
        <w:rPr>
          <w:b/>
          <w:bCs/>
          <w:lang w:val="el" w:eastAsia="el"/>
        </w:rPr>
        <w:t>Θ. Για την εφαρμογή των κανόνων υποβολής στοιχείων και δέουσας επιμέλειας αναφορικά με το έτος 2024:</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Συμμετέχουσες Δικαιοδοσίες είναι όλες οι Δικαιοδοσίες που περιλαμβάνονται στους Πίνακες Α, Β', Γ, Δ', Ε', ΣΤ, Ζ' και Η' του παρόντος άρθρου και προστίθενται οι ακόλουθες Δικαιοδοσίες:</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Πίνακας Θ'</w:t>
      </w:r>
      <w:r>
        <w:rPr>
          <w:rStyle w:val="Hyperlink"/>
          <w:b/>
          <w:bCs/>
          <w:color w:val="000000"/>
          <w:sz w:val="20"/>
          <w:szCs w:val="20"/>
          <w:u w:val="none" w:color="0000EE"/>
          <w:vertAlign w:val="superscript"/>
          <w:lang w:val="el" w:eastAsia="el"/>
        </w:rPr>
        <w:footnoteReference w:id="5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Armenia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Georgia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Μολδαβία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Moldova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Ουκρανία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Ukraine</w:t>
            </w:r>
          </w:p>
        </w:tc>
      </w:tr>
    </w:tbl>
    <w:p>
      <w:pPr>
        <w:spacing w:before="240" w:after="240"/>
        <w:rPr>
          <w:lang w:val="el" w:eastAsia="el"/>
        </w:rPr>
      </w:pPr>
      <w:r>
        <w:rPr>
          <w:b/>
          <w:bCs/>
          <w:lang w:val="el" w:eastAsia="el"/>
        </w:rPr>
        <w:t>Οι Συμμετέχουσες Δικαιοδοσίες, όπως ορίζονται στο σημείο Θ' του παρόντος άρθρου, λαμβάνονται υπόψη για την εφαρμογή των κανόνων υποβολής στοιχείων και δέουσας επιμέλειας από την 1η Ιανουαρίου 2024.</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 </w:t>
      </w:r>
    </w:p>
    <w:p>
      <w:pPr>
        <w:spacing w:before="240" w:after="240"/>
        <w:rPr>
          <w:lang w:val="el" w:eastAsia="el"/>
        </w:rPr>
      </w:pPr>
      <w:r>
        <w:rPr>
          <w:b/>
          <w:bCs/>
          <w:lang w:val="el" w:eastAsia="el"/>
        </w:rPr>
        <w:t>Ι. Για την εφαρμογή των κανόνων υποβολής στοιχείων και δέουσας επιμέλειας αναφορικά με το έτος 2025: Συμμετέχουσες Δικαιοδοσίες είναι όλες οι Δικαιοδοσίες που περιλαμβάνονται στους Πίνακες Α, Β, Γ, Δ, Ε, ΣΤ, Ζ, Η' και Θ' του παρόντος άρθρου και προστίθεται η ακόλουθη Δικαιοδοσία:</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Πίνακας I'</w:t>
      </w:r>
      <w:r>
        <w:rPr>
          <w:rStyle w:val="Hyperlink"/>
          <w:b/>
          <w:bCs/>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Ουγκάντα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Uganda</w:t>
            </w:r>
          </w:p>
        </w:tc>
      </w:tr>
    </w:tbl>
    <w:p>
      <w:pPr>
        <w:spacing w:before="240" w:after="240"/>
        <w:rPr>
          <w:lang w:val="el" w:eastAsia="el"/>
        </w:rPr>
      </w:pPr>
      <w:r>
        <w:rPr>
          <w:b/>
          <w:bCs/>
          <w:lang w:val="el" w:eastAsia="el"/>
        </w:rPr>
        <w:t>Οι Συμμετέχουσες Δικαιοδοσίες, όπως ορίζονται στο σημείο I' του παρόντος άρθρου, λαμβάνονται υπόψη για την εφαρμογή των κανόνων υποβολής στοιχείων και δέουσας επιμέλειας από την 1η Ιανουαρίου 2025.</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Η παρούσα απόφαση αρχίζει να ισχύει από την ημερομηνία έκδοσής της.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ΠΟΛ.1084/2018 15.05.2018</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Α.1208/2019 24.05.2019</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Α.1208/2019 24.05.2019</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1181/2020 24.07.2020</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1107/2021 19.05.2021</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1065/2022 25.05.2022</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1083/2023 30.05.2023</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1089/2024 03.06.2024</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1089/2024 03.06.2024</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1089/2024 03.06.2024</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1069/2025 29.05.2025</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 Τροποποίηση Α.1208/2019 24.05.2019</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 Τροποποίηση Α.1208/2019 24.05.2019</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 Τροποποίηση Α.1208/2019 24.05.2019</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Α.1208/2019 24.05.2019</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Α.1208/2019 24.05.2019</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Α.1208/2019 24.05.2019</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Α.1208/2019 24.05.2019; Τροποποίηση Α. 1181/2020 24.07.2020</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Α.1208/2019 24.05.2019; Τροποποίηση Α. 1181/2020 24.07.2020</w:t>
      </w:r>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Α.1208/2019 24.05.2019; Τροποποίηση Α. 1181/2020 24.07.2020</w:t>
      </w:r>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Α.1208/2019 24.05.2019; Τροποποίηση Α. 1181/2020 24.07.2020</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 Τροποποίηση Α. 1181/2020 24.07.2020</w:t>
      </w:r>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 Τροποποίηση Α. 1181/2020 24.07.2020</w:t>
      </w:r>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1181/2020 24.07.2020; Τροποποίηση Α. 1107/2021 19.05.2021; Τροποποίηση Α. 1065/2022 25.05.2022</w:t>
      </w:r>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1181/2020 24.07.2020; Τροποποίηση Α. 1107/2021 19.05.2021; Τροποποίηση Α. 1065/2022 25.05.2022</w:t>
      </w:r>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 Τροποποίηση Α. 1065/2022 25.05.2022</w:t>
      </w:r>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 Τροποποίηση Α. 1065/2022 25.05.2022</w:t>
      </w:r>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 Προσθήκη Α. 1107/2021 19.05.2021; Τροποποίηση Α. 1065/2022 25.05.2022</w:t>
      </w:r>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 Προσθήκη Α. 1107/2021 19.05.2021; Τροποποίηση Α. 1065/2022 25.05.2022</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ΠΟΛ.1084/2018 15.05.2018; Προσθήκη Α. 1107/2021 19.05.2021; Τροποποίηση Α. 1065/2022 25.05.2022</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1065/2022 25.05.2022</w:t>
      </w:r>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1065/2022 25.05.2022</w:t>
      </w:r>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1065/2022 25.05.2022; Τροποποίηση Α. 1083/2023 30.05.2023</w:t>
      </w:r>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1065/2022 25.05.2022; Τροποποίηση Α. 1083/2023 30.05.2023</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1065/2022 25.05.2022; Τροποποίηση Α. 1083/2023 30.05.2023</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1065/2022 25.05.2022; Τροποποίηση Α. 1083/2023 30.05.2023</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1083/2023 30.05.2023; Τροποποίηση Α. 1089/2024 03.06.2024</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1083/2023 30.05.2023; Τροποποίηση Α. 1089/2024 03.06.2024</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1083/2023 30.05.2023; Τροποποίηση Α. 1089/2024 03.06.2024</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1083/2023 30.05.2023; Τροποποίηση Α. 1089/2024 03.06.2024</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1089/2024 03.06.2024; Τροποποίηση Α. 1069/2025 29.05.2025</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1089/2024 03.06.2024; Τροποποίηση Α. 1069/2025 29.05.2025</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1089/2024 03.06.2024; Τροποποίηση Α. 1069/2025 29.05.2025</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1069/2025 29.05.2025</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Α. 1069/2025 29.05.2025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