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160525/2210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Συμπλήρωση της 151585/323/03.02.2017 (ΦΕΚ 347Β’) κοινής υπουργικής απόφασης «Καθορισμός ειδικού τέλους για την άσκηση αντιρρήσεων τής παραγράφου 1 του άρθρου 15 του ν. 3889/2010 (ΦΕΚ 182Α’) κατά του περιεχομένου αναρτημένου δασικού χάρτη».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ΑΝΑΠΛΗΡΩΤΕΣ ΥΠΟΥΡΓΟΙ ΟΙΚΟΝΟΜΙΚΩΝ 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ΠΕΡΙΒΑΛΛΟΝΤΟΣ ΚΑΙ ΕΝΕΡΓΕΙΑΣ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13 έως και 26 του ν. 3889/2010 (ΦΕΚ 182Α’) «Χρηματοδότηση Περιβαλλοντικών Παρεμβάσεων, Πράσινο Ταμείο, Κύρωση Δασικών Χαρτών και άλλες διατάξεις» και ειδικότερα των άρθρων 15 παράγραφος 1 και 22 παράγραφοι 2 και 3 αυτού που αναφέρονται στο περιεχόμενο τής παρούσας απόφασης, όπως αυτές τροποποιήθηκαν, συμπληρώθηκαν, αντικαταστάθηκαν και ισχύουν με εκείνες του άρθρου 153 του ν. 4389/2016 (ΦΕΚ 94Α’) «Επείγουσες διατάξεις για την εφαρμογή της συμφωνίας δημοσιοοικονομικών στόχων και διαρθρωτικών μεταρρυθμίσεων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 διάταξη της περίπτωσης στ’ της παραγράφου 1 του άρθρου 21 του ν. 3889/2010 (ΦΕΚ 182Α’) όπως αντικαταστάθηκε με την παρ. 7 του άρθρου δευτέρου του ν. 4462/2017 (ΦΕΚ 39Α’).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28 του ν. 2664/1998 (ΦΕΚ 275Α’) «Εθνικό Κτηματολόγιο και άλλες διατάξεις», όπως ισχύουν.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