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ΓΔΤΕΦΚ 11605</w:t>
      </w:r>
      <w:r>
        <w:rPr>
          <w:lang w:val="el" w:eastAsia="el"/>
        </w:rPr>
        <w:t xml:space="preserve">36 ΕΞ 2017 </w:t>
      </w:r>
    </w:p>
    <w:p>
      <w:pPr>
        <w:pStyle w:val="PreambelText"/>
        <w:spacing w:before="240" w:after="240"/>
        <w:rPr>
          <w:lang w:val="el" w:eastAsia="el"/>
        </w:rPr>
      </w:pPr>
      <w:r>
        <w:rPr>
          <w:b/>
          <w:bCs/>
          <w:lang w:val="el" w:eastAsia="el"/>
        </w:rPr>
        <w:t>Τροποποίηση της αριθμ. 0004170 ΕΞ 2015/1512-2015 κοινή υπουργική απόφαση (ΦΕΚ Β’ 2722), όπως ισχύει, με θέμα «Διαδικασίες και προδιαγραφές εγκατάστασης και λειτουργίας ολοκληρωμένων συστημάτων ηλεκτρονικού ελέγχου εισροών - εκροών σε πλωτά μέσα (σλέπια, κ.λπ.) μεταφοράς πετρελαιοειδών. Εγκατάσταση, διαδικασίες και προδιαγραφές εγκατάστασης και λειτουργίας ηλεκτρονικού συστήματος εντοπισμού θέσης (Global Positioning System - GPS). Δημιουργία Κέντρου Συντονισμού στην Γ.Γ.Π.Σ. του Υπουργείου Οικονομικών. Απαιτήσεις συμμόρφωσης, καταγραφής, λειτουργίας και διασφάλισης των μετρήσεων στις μεταφερόμενες ποσότητες και ηλεκτρονικής αποστολής δεδομένων. Καθορισμός του χρονοδιαγράμματος εφαρμογής, καθώς και του είδους και περιεχομένου των στοιχείων που παρέχονται από το σύστημα αυτό».</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ΑΝΑΠΤΥΞΗΣ - ΟΙΚΟΝΟΜΙΚΩΝ - ΥΠΟΔΟΜΩΝ ΚΑΙ ΜΕΤΑΦΟΡΩΝ -</w:t>
      </w:r>
    </w:p>
    <w:p>
      <w:pPr>
        <w:pStyle w:val="PreambelText"/>
        <w:spacing w:before="240" w:after="240"/>
        <w:rPr>
          <w:lang w:val="el" w:eastAsia="el"/>
        </w:rPr>
      </w:pPr>
      <w:r>
        <w:rPr>
          <w:b/>
          <w:bCs/>
          <w:lang w:val="el" w:eastAsia="el"/>
        </w:rPr>
        <w:t>ΝΑΥΤΙΛΙΑΣ ΚΑΙ ΝΗΣΙΩΤΙΚΗΣ ΠΟΛΙΤΙΚΗΣ</w:t>
      </w:r>
    </w:p>
    <w:p>
      <w:pPr>
        <w:pStyle w:val="PreambelText"/>
        <w:spacing w:before="240" w:after="240"/>
        <w:rPr>
          <w:lang w:val="el" w:eastAsia="el"/>
        </w:rPr>
      </w:pPr>
      <w:r>
        <w:rPr>
          <w:lang w:val="el" w:eastAsia="el"/>
        </w:rPr>
        <w:t>ΚΑΙ 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της παρ. 10 του άρθρου 31 του ν.3784/2009 (ΦΕΚ 137 Α) όπως έχει τροποποιηθεί και ισχύει,</w:t>
      </w:r>
    </w:p>
    <w:p>
      <w:pPr>
        <w:pStyle w:val="PreambelText"/>
        <w:spacing w:before="240" w:after="240"/>
        <w:rPr>
          <w:lang w:val="el" w:eastAsia="el"/>
        </w:rPr>
      </w:pPr>
      <w:r>
        <w:rPr>
          <w:lang w:val="el" w:eastAsia="el"/>
        </w:rPr>
        <w:t>της παρ. 8α του άρθρου 15 του ν. 3054/2002 (ΦΕΚ 230 Α) όπως έχει τροποποιηθεί και ισχύει,</w:t>
      </w:r>
    </w:p>
    <w:p>
      <w:pPr>
        <w:pStyle w:val="PreambelText"/>
        <w:spacing w:before="240" w:after="240"/>
        <w:rPr>
          <w:lang w:val="el" w:eastAsia="el"/>
        </w:rPr>
      </w:pPr>
      <w:r>
        <w:rPr>
          <w:lang w:val="el" w:eastAsia="el"/>
        </w:rPr>
        <w:t>3. του άρθρου 40 του ν. 2960/2001( ΦΕΚ Α’265) « Εθνικός Τελωνειακός Κώδικας», όπως ισχύει,</w:t>
      </w:r>
    </w:p>
    <w:p>
      <w:pPr>
        <w:pStyle w:val="PreambelText"/>
        <w:spacing w:before="240" w:after="240"/>
        <w:rPr>
          <w:lang w:val="el" w:eastAsia="el"/>
        </w:rPr>
      </w:pPr>
      <w:r>
        <w:rPr>
          <w:lang w:val="el" w:eastAsia="el"/>
        </w:rPr>
        <w:t>4. του άρθρου 90 παρ. 2 του Κώδικα Νομοθεσίας για την Κυβέρνηση και τα Κυβερνητικά Όργανα που κυρώθηκε με το άρθρο πρώτο του π.δ. 63/2005 (ΦΕΚ Α’98)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5. του π.δ. 185/2009 (ΦΕΚ Α’213) «Περί ανασύστασης του Υπουργείου Οικονομικών»,</w:t>
      </w:r>
    </w:p>
    <w:p>
      <w:pPr>
        <w:pStyle w:val="PreambelText"/>
        <w:spacing w:before="240" w:after="240"/>
        <w:rPr>
          <w:lang w:val="el" w:eastAsia="el"/>
        </w:rPr>
      </w:pPr>
      <w:r>
        <w:rPr>
          <w:lang w:val="el" w:eastAsia="el"/>
        </w:rPr>
        <w:t>6. του π.δ. 189/2009 (ΦΕΚ Α’221) « Καθορισμός και ανακατανομή αρμοδιοτήτων των Υπουργείων»,</w:t>
      </w:r>
    </w:p>
    <w:p>
      <w:pPr>
        <w:pStyle w:val="PreambelText"/>
        <w:spacing w:before="240" w:after="240"/>
        <w:rPr>
          <w:lang w:val="el" w:eastAsia="el"/>
        </w:rPr>
      </w:pPr>
      <w:r>
        <w:rPr>
          <w:lang w:val="el" w:eastAsia="el"/>
        </w:rPr>
        <w:t>7. του π.δ. 111/2014 ( ΦΕΚ Α’178)«Οργανισμός του Υπουργείου Οικονομικών», όπως ισχύει,</w:t>
      </w:r>
    </w:p>
    <w:p>
      <w:pPr>
        <w:pStyle w:val="PreambelText"/>
        <w:spacing w:before="240" w:after="240"/>
        <w:rPr>
          <w:lang w:val="el" w:eastAsia="el"/>
        </w:rPr>
      </w:pPr>
      <w:r>
        <w:rPr>
          <w:lang w:val="el" w:eastAsia="el"/>
        </w:rPr>
        <w:t>8. του π.δ. 103/2014 (ΦΕΚ Α’170) «Οργανισμός του Υπουργείου Ναυτιλίας και Αιγαίου»,</w:t>
      </w:r>
    </w:p>
    <w:p>
      <w:pPr>
        <w:pStyle w:val="PreambelText"/>
        <w:spacing w:before="240" w:after="240"/>
        <w:rPr>
          <w:lang w:val="el" w:eastAsia="el"/>
        </w:rPr>
      </w:pPr>
      <w:r>
        <w:rPr>
          <w:lang w:val="el" w:eastAsia="el"/>
        </w:rPr>
        <w:t>9. του π.δ. 109/2014 (ΦΕΚ Α’176) «Οργανισμός του Υπουργείου Υποδομών, Μεταφορών και Δικτύων», όπως ισχύει,</w:t>
      </w:r>
    </w:p>
    <w:p>
      <w:pPr>
        <w:pStyle w:val="PreambelText"/>
        <w:spacing w:before="240" w:after="240"/>
        <w:rPr>
          <w:lang w:val="el" w:eastAsia="el"/>
        </w:rPr>
      </w:pPr>
      <w:r>
        <w:rPr>
          <w:lang w:val="el" w:eastAsia="el"/>
        </w:rPr>
        <w:t>10. του π.δ. 116/2014 (ΦΕΚ Α’185) «Οργανισμός του Υπουργείου Ανάπτυξης και Ανταγωνιστικότητας»</w:t>
      </w:r>
    </w:p>
    <w:p>
      <w:pPr>
        <w:pStyle w:val="PreambelText"/>
        <w:spacing w:before="240" w:after="240"/>
        <w:rPr>
          <w:lang w:val="el" w:eastAsia="el"/>
        </w:rPr>
      </w:pPr>
      <w:r>
        <w:rPr>
          <w:lang w:val="el" w:eastAsia="el"/>
        </w:rPr>
        <w:t>11. του π.δ. 69/2015 (ΦΕΚ Α’104) «Διορισμός του Αλέξιου Π. Τσίπρα, ως Πρωθυπουργού»,</w:t>
      </w:r>
    </w:p>
    <w:p>
      <w:pPr>
        <w:pStyle w:val="PreambelText"/>
        <w:spacing w:before="240" w:after="240"/>
        <w:rPr>
          <w:lang w:val="el" w:eastAsia="el"/>
        </w:rPr>
      </w:pPr>
      <w:r>
        <w:rPr>
          <w:lang w:val="el" w:eastAsia="el"/>
        </w:rPr>
        <w:t>του π.δ. 70/2015 (ΦΕΚ Α’114) « Ανασύσταση Υπουργείων μεταφορά Γενικής Γραμματείας Βιομηχανίας στο Υπουργείο Οικονομίας, Ανάπτυξης και Τουρισμού»,</w:t>
      </w:r>
    </w:p>
    <w:p>
      <w:pPr>
        <w:pStyle w:val="PreambelText"/>
        <w:spacing w:before="240" w:after="240"/>
        <w:rPr>
          <w:lang w:val="el" w:eastAsia="el"/>
        </w:rPr>
      </w:pPr>
      <w:r>
        <w:rPr>
          <w:lang w:val="el" w:eastAsia="el"/>
        </w:rPr>
        <w:t>13. του π.δ.125/2016 (ΦΕΚ Α’ 210), «Διορισμός Υπουργών, Αναπληρωτών Υπουργών και Υφυπουργών»,</w:t>
      </w:r>
    </w:p>
    <w:p>
      <w:pPr>
        <w:pStyle w:val="PreambelText"/>
        <w:spacing w:before="240" w:after="240"/>
        <w:rPr>
          <w:lang w:val="el" w:eastAsia="el"/>
        </w:rPr>
      </w:pPr>
      <w:r>
        <w:rPr>
          <w:lang w:val="el" w:eastAsia="el"/>
        </w:rPr>
        <w:t>14. του π.δ. 123/2016 (ΦΕΚ Α’ 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15. της υπ' αριθ. ΥΠΟΙΚ 0010218 ΕΞ 2016 απόφασης του Πρωθυπουργού και του Υπουργού Οικονομικών, «Ανάθεση αρμοδιοτήτων στην Υφυπουργό Οικονομικών Αικατερίνη Παπανάτσιου» (ΦΕΚ Β’ 3696),</w:t>
      </w:r>
    </w:p>
    <w:p>
      <w:pPr>
        <w:pStyle w:val="PreambelText"/>
        <w:spacing w:before="240" w:after="240"/>
        <w:rPr>
          <w:lang w:val="el" w:eastAsia="el"/>
        </w:rPr>
      </w:pPr>
      <w:r>
        <w:rPr>
          <w:lang w:val="el" w:eastAsia="el"/>
        </w:rPr>
        <w:t>16. της υπ' αρ. Υ197/16-11-2016 απόφασης του Πρωθυπουργού: «Ανάθεση αρμοδιοτήτων στον Αναπληρωτή Υπουργό Οικονομίας και Ανάπτυξης Αλέξανδρο Χαρίτση» (ΦΕΚ Β’ 3722) όπως ισχύει.</w:t>
      </w:r>
    </w:p>
    <w:p>
      <w:pPr>
        <w:pStyle w:val="PreambelText"/>
        <w:spacing w:before="240" w:after="240"/>
        <w:rPr>
          <w:lang w:val="el" w:eastAsia="el"/>
        </w:rPr>
      </w:pPr>
      <w:r>
        <w:rPr>
          <w:lang w:val="el" w:eastAsia="el"/>
        </w:rPr>
        <w:t>17. της υπ' αριθμ. 4402/88/2017 κοινή απόφαση του Πρωθυπουργού και του Υπουργού Υποδομών και Μεταφορών «Καθορισμός αρμοδιοτήτων Υφυπουργού Υποδομών και Μεταφορών Νικόλαου Μαυραγάνη (ΦΕΚ Β’127).</w:t>
      </w:r>
    </w:p>
    <w:p>
      <w:pPr>
        <w:pStyle w:val="PreambelText"/>
        <w:spacing w:before="240" w:after="240"/>
        <w:rPr>
          <w:lang w:val="el" w:eastAsia="el"/>
        </w:rPr>
      </w:pPr>
      <w:r>
        <w:rPr>
          <w:lang w:val="el" w:eastAsia="el"/>
        </w:rPr>
        <w:t>18. Τις διατάξεις του κεφαλαίου Α’ «Σύσταση Ανεξάρτητης Αρχής Δημοσίων Εσόδων» του Μέρους Πρώτου του ν. 4389/2016 « Επείγουσες διατάξεις για την εφαρμογή της συμφωνίας δημοσιονομικών στόχων και διαρθρωτικών μεταρρυθμίσεων και άλλες διατάξεις» (ΦΕΚ Β’94) και ιδίως το άρθρο 41.</w:t>
      </w:r>
    </w:p>
    <w:p>
      <w:pPr>
        <w:pStyle w:val="PreambelText"/>
        <w:spacing w:before="240" w:after="240"/>
        <w:rPr>
          <w:lang w:val="el" w:eastAsia="el"/>
        </w:rPr>
      </w:pPr>
      <w:r>
        <w:rPr>
          <w:lang w:val="el" w:eastAsia="el"/>
        </w:rPr>
        <w:t>19. Την αριθμ. 1/20-1-2016 πράξη του Υπουργικού Συμβουλίου «Επιλογή και διορισμός Γενικού Γραμματέα της Γενικής Γραμματείας Δημοσιών εσόδων του Υπουργείου Οικονομικών» (ΦΕΚ 18/Υ.Ο.Δ.Δ/20-1-2016) σε συνδυασμό με τις διατάξεις της παραγράφου 10 του άρθρου 41 του ν. 4389/2016 όπως ισχύουν</w:t>
      </w:r>
    </w:p>
    <w:p>
      <w:pPr>
        <w:pStyle w:val="PreambelText"/>
        <w:spacing w:before="240" w:after="240"/>
        <w:rPr>
          <w:lang w:val="el" w:eastAsia="el"/>
        </w:rPr>
      </w:pPr>
      <w:r>
        <w:rPr>
          <w:lang w:val="el" w:eastAsia="el"/>
        </w:rPr>
        <w:t>Β. 1. Την ανάγκη τροποποίησης της αριθμ. 0004170 ΕΞ 2015/15-12-2015 κοινή υπουργική απόφαση (ΦΕΚ Β’ 2722) όσον αφορά το χρονοδιάγραμμα εφαρμογής αυτής δεδομένου ότι συντρέχουν αντικειμενικοί λόγοι αδυναμίας παράδοσης των μετρητικών συστημάτων εισροών - εκροών από τους εγκαταστάτες τους.</w:t>
      </w:r>
    </w:p>
    <w:p>
      <w:pPr>
        <w:pStyle w:val="PreambelText"/>
        <w:spacing w:before="240" w:after="240"/>
        <w:rPr>
          <w:lang w:val="el" w:eastAsia="el"/>
        </w:rPr>
      </w:pPr>
      <w:r>
        <w:rPr>
          <w:lang w:val="el" w:eastAsia="el"/>
        </w:rPr>
        <w:t>2. Το γεγονός ότι με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Στο άρθρο 4 της αριθμ. 0004170 ΕΞ 2015/15-12-2015 κοινή υπουργική απόφαση (ΦΕΚ Β’ 2722) προστίθεται νέα παράγραφος ως εξής:</w:t>
      </w:r>
    </w:p>
    <w:p>
      <w:pPr>
        <w:spacing w:before="240" w:after="240"/>
        <w:rPr>
          <w:lang w:val="el" w:eastAsia="el"/>
        </w:rPr>
      </w:pPr>
      <w:r>
        <w:rPr>
          <w:lang w:val="el" w:eastAsia="el"/>
        </w:rPr>
        <w:t>« Όσοι υπόχρεοι έχουν υποβάλει αίτημα για τοποθέτηση ηλεκτρονικού συστήματος ελέγχου εισροών -εκροών και διαθέτουν έγγραφη προσφορά από τον εγκαταστάτη πριν την παρέλευση της οριζόμενης προθεσμίας και εντός μηνός παραγγελία, αλλά το σύστημα δεν τους έχει χορηγηθεί για λόγους που αφορούν τον εγκαταστάτη, γεγονός που βεβαιώνεται γραπτά, απαλλάσσονται από την επιβολή των προβλεπόμενων κυρώσεων εφόσον η εγκατάσταση του συστήματος ολοκληρωθεί έως την 28/2/2018.»</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Οκτωβρίου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lang w:val="el" w:eastAsia="el"/>
        </w:rPr>
        <w:t>Ναυτιλίας και</w:t>
      </w:r>
    </w:p>
    <w:p>
      <w:pPr>
        <w:spacing w:before="240" w:after="240"/>
        <w:rPr>
          <w:lang w:val="el" w:eastAsia="el"/>
        </w:rPr>
      </w:pPr>
      <w:r>
        <w:rPr>
          <w:lang w:val="el" w:eastAsia="el"/>
        </w:rPr>
        <w:t>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lang w:val="el" w:eastAsia="el"/>
        </w:rPr>
        <w:t>Ο Διοικητής της ΑΑΔΕ</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