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Β</w:t>
      </w:r>
      <w:r>
        <w:rPr>
          <w:b/>
          <w:bCs/>
          <w:lang w:val="el" w:eastAsia="el"/>
        </w:rPr>
        <w:t>ΑΔΑΕ</w:t>
      </w:r>
    </w:p>
    <w:p>
      <w:pPr>
        <w:pStyle w:val="Title"/>
        <w:spacing w:before="120" w:after="360"/>
        <w:rPr>
          <w:lang w:val="el" w:eastAsia="el"/>
        </w:rPr>
      </w:pPr>
      <w:r>
        <w:rPr>
          <w:b/>
          <w:bCs/>
          <w:lang w:val="el" w:eastAsia="el"/>
        </w:rPr>
        <w:t>ΔΙΕΘΝΩΝ ΟΙΚΟΝΟΜΙΚΩΝ ΣΧΕΣΕΩΝ , ΔηυοσιωνΈσοοων</w:t>
      </w:r>
    </w:p>
    <w:p>
      <w:pPr>
        <w:pStyle w:val="Title"/>
        <w:spacing w:before="120" w:after="360"/>
        <w:rPr>
          <w:lang w:val="el" w:eastAsia="el"/>
        </w:rPr>
      </w:pPr>
      <w:r>
        <w:rPr>
          <w:b/>
          <w:bCs/>
          <w:lang w:val="el" w:eastAsia="el"/>
        </w:rPr>
        <w:t>Γ΄ - ΔΙΕΘΝΟΥΣ ΔΙΟΙΚΗΤΙΚΗΣ</w:t>
      </w:r>
    </w:p>
    <w:p>
      <w:pPr>
        <w:pStyle w:val="Title"/>
        <w:spacing w:before="120" w:after="360"/>
        <w:rPr>
          <w:lang w:val="el" w:eastAsia="el"/>
        </w:rPr>
      </w:pPr>
      <w:r>
        <w:rPr>
          <w:lang w:val="el" w:eastAsia="el"/>
        </w:rPr>
        <w:t xml:space="preserve">2. </w:t>
      </w:r>
      <w:r>
        <w:rPr>
          <w:b/>
          <w:bCs/>
          <w:lang w:val="el" w:eastAsia="el"/>
        </w:rPr>
        <w:t>ΓΕΝΙΚΗ Δ/ΝΣΗ ΗΛΕΚΤΡΟΝΙΚΗΣ ΔΙΑΚΥΒΕΡΝΗΣΗΣ ΚΑΙ ΑΝΘΡΩΠΙΝΟΥ ΔΥΝΑΜΙΚΟΥ</w:t>
      </w:r>
    </w:p>
    <w:p>
      <w:pPr>
        <w:pStyle w:val="Title"/>
        <w:spacing w:before="120" w:after="360"/>
        <w:rPr>
          <w:lang w:val="el" w:eastAsia="el"/>
        </w:rPr>
      </w:pPr>
      <w:r>
        <w:rPr>
          <w:b/>
          <w:bCs/>
          <w:lang w:val="el" w:eastAsia="el"/>
        </w:rPr>
        <w:t>Δ/ΝΣΗ ΗΛΕΚΤΡΟΝΙΚΗΣ ΔΙΑΚΥΒΕΡΝΗΣΗΣ</w:t>
      </w:r>
    </w:p>
    <w:p>
      <w:pPr>
        <w:pStyle w:val="Title"/>
        <w:spacing w:before="120" w:after="360"/>
        <w:rPr>
          <w:lang w:val="el" w:eastAsia="el"/>
        </w:rPr>
      </w:pPr>
      <w:r>
        <w:rPr>
          <w:b/>
          <w:bCs/>
          <w:lang w:val="el" w:eastAsia="el"/>
        </w:rPr>
        <w:t>ΥΠΟΔΙΕΥΘΥΝΣΗ Α΄</w:t>
      </w:r>
    </w:p>
    <w:p>
      <w:pPr>
        <w:pStyle w:val="Heading1"/>
        <w:spacing w:before="240" w:after="240"/>
        <w:rPr>
          <w:lang w:val="el" w:eastAsia="el"/>
        </w:rPr>
      </w:pPr>
      <w:r>
        <w:rPr>
          <w:b/>
          <w:bCs/>
          <w:lang w:val="el" w:eastAsia="el"/>
        </w:rPr>
        <w:t>ΤΜΗΜΑ ΣΤ΄</w:t>
      </w:r>
    </w:p>
    <w:p>
      <w:pPr>
        <w:pStyle w:val="Heading1"/>
        <w:spacing w:before="240" w:after="240"/>
        <w:rPr>
          <w:lang w:val="el" w:eastAsia="el"/>
        </w:rPr>
      </w:pPr>
      <w:r>
        <w:rPr>
          <w:b/>
          <w:bCs/>
          <w:lang w:val="el" w:eastAsia="el"/>
        </w:rPr>
        <w:t>- ΑΥΤΟΜΑΤΗΣ ΑΝΤΑΛΛΑΓΗΣ</w:t>
      </w:r>
    </w:p>
    <w:p>
      <w:pPr>
        <w:spacing w:before="240" w:after="240"/>
        <w:rPr>
          <w:lang w:val="el" w:eastAsia="el"/>
        </w:rPr>
      </w:pPr>
      <w:r>
        <w:rPr>
          <w:b/>
          <w:bCs/>
          <w:lang w:val="el" w:eastAsia="el"/>
        </w:rPr>
        <w:t>ΠΛΗΡΟΦΟΡΙΩΝ ΚΑΙ ΥΠΟΔΟΧΗΣ ΣΤΟΙΧΕΙΩΝ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4"/>
        <w:gridCol w:w="50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 :</w:t>
            </w:r>
          </w:p>
          <w:p>
            <w:pPr>
              <w:spacing w:before="240" w:after="240"/>
              <w:rPr>
                <w:b w:val="0"/>
                <w:bCs w:val="0"/>
                <w:i w:val="0"/>
                <w:iCs w:val="0"/>
                <w:smallCaps w:val="0"/>
                <w:color w:val="000000"/>
                <w:lang w:val="el" w:eastAsia="el"/>
              </w:rPr>
            </w:pPr>
            <w:r>
              <w:rPr>
                <w:b/>
                <w:bCs/>
                <w:i w:val="0"/>
                <w:iCs w:val="0"/>
                <w:smallCaps w:val="0"/>
                <w:color w:val="000000"/>
                <w:lang w:val="el" w:eastAsia="el"/>
              </w:rPr>
              <w:t>Ταχ. Κώδικας :</w:t>
            </w:r>
          </w:p>
          <w:p>
            <w:pPr>
              <w:spacing w:before="240" w:after="240"/>
              <w:rPr>
                <w:b w:val="0"/>
                <w:bCs w:val="0"/>
                <w:i w:val="0"/>
                <w:iCs w:val="0"/>
                <w:smallCaps w:val="0"/>
                <w:color w:val="000000"/>
                <w:lang w:val="el" w:eastAsia="el"/>
              </w:rPr>
            </w:pPr>
            <w:r>
              <w:rPr>
                <w:b/>
                <w:bCs/>
                <w:i w:val="0"/>
                <w:iCs w:val="0"/>
                <w:smallCaps w:val="0"/>
                <w:color w:val="000000"/>
                <w:lang w:val="el" w:eastAsia="el"/>
              </w:rPr>
              <w:t>Πληροφορίες :</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 :</w:t>
            </w:r>
          </w:p>
          <w:p>
            <w:pPr>
              <w:spacing w:before="240" w:after="240"/>
              <w:rPr>
                <w:b w:val="0"/>
                <w:bCs w:val="0"/>
                <w:i w:val="0"/>
                <w:iCs w:val="0"/>
                <w:smallCaps w:val="0"/>
                <w:color w:val="000000"/>
                <w:lang w:val="el" w:eastAsia="el"/>
              </w:rPr>
            </w:pPr>
            <w:r>
              <w:rPr>
                <w:b/>
                <w:bCs/>
                <w:i w:val="0"/>
                <w:iCs w:val="0"/>
                <w:smallCaps w:val="0"/>
                <w:color w:val="000000"/>
                <w:lang w:val="el" w:eastAsia="el"/>
              </w:rPr>
              <w:t>Ηλ. ταχ. :</w:t>
            </w:r>
          </w:p>
          <w:p>
            <w:pPr>
              <w:spacing w:before="240"/>
              <w:rPr>
                <w:b w:val="0"/>
                <w:bCs w:val="0"/>
                <w:i w:val="0"/>
                <w:iCs w:val="0"/>
                <w:smallCaps w:val="0"/>
                <w:color w:val="000000"/>
                <w:lang w:val="el" w:eastAsia="el"/>
              </w:rPr>
            </w:pPr>
            <w:r>
              <w:rPr>
                <w:b/>
                <w:bCs/>
                <w:i w:val="0"/>
                <w:iCs w:val="0"/>
                <w:smallCaps w:val="0"/>
                <w:color w:val="000000"/>
                <w:lang w:val="el" w:eastAsia="el"/>
              </w:rPr>
              <w:t>Ιστοσελίδα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Χανδρή 1 &amp; Θεσσαλονίκης 8</w:t>
            </w:r>
          </w:p>
          <w:p>
            <w:pPr>
              <w:spacing w:before="240" w:after="240"/>
              <w:rPr>
                <w:b w:val="0"/>
                <w:bCs w:val="0"/>
                <w:i w:val="0"/>
                <w:iCs w:val="0"/>
                <w:smallCaps w:val="0"/>
                <w:color w:val="000000"/>
                <w:lang w:val="el" w:eastAsia="el"/>
              </w:rPr>
            </w:pPr>
            <w:r>
              <w:rPr>
                <w:b w:val="0"/>
                <w:bCs w:val="0"/>
                <w:i w:val="0"/>
                <w:iCs w:val="0"/>
                <w:smallCaps w:val="0"/>
                <w:color w:val="000000"/>
                <w:lang w:val="el" w:eastAsia="el"/>
              </w:rPr>
              <w:t>183 46 Μοσχάτο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Μπαλάτος, Α. Καραβίδα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210 - 4802583, 2264</w:t>
            </w:r>
          </w:p>
          <w:p>
            <w:pPr>
              <w:spacing w:before="240" w:after="240"/>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c.balatos@aade.gr</w:t>
              </w:r>
            </w:hyperlink>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a.karavida@aade.gr</w:t>
              </w:r>
            </w:hyperlink>
          </w:p>
          <w:p>
            <w:pPr>
              <w:spacing w:before="240"/>
              <w:rPr>
                <w:b w:val="0"/>
                <w:bCs w:val="0"/>
                <w:i w:val="0"/>
                <w:iCs w:val="0"/>
                <w:smallCaps w:val="0"/>
                <w:color w:val="000000"/>
                <w:lang w:val="el" w:eastAsia="el"/>
              </w:rPr>
            </w:pPr>
            <w:hyperlink r:id="rId6"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lang w:val="el" w:eastAsia="el"/>
        </w:rPr>
        <w:t xml:space="preserve">3. </w:t>
      </w:r>
      <w:r>
        <w:rPr>
          <w:b/>
          <w:bCs/>
          <w:lang w:val="el" w:eastAsia="el"/>
        </w:rPr>
        <w:t>ΓΕΝΙΚΗ Δ/ΝΣΗ ΦΟΡΟΛΟΓΙΚΗΣ ΔΙΟΙΚΗΣΗΣ</w:t>
      </w:r>
    </w:p>
    <w:p>
      <w:pPr>
        <w:spacing w:before="240" w:after="240"/>
        <w:rPr>
          <w:lang w:val="el" w:eastAsia="el"/>
        </w:rPr>
      </w:pPr>
      <w:r>
        <w:rPr>
          <w:b/>
          <w:bCs/>
          <w:lang w:val="el" w:eastAsia="el"/>
        </w:rPr>
        <w:t>Α. Δ/ΝΣΗ ΕΛΕΓΧΩΝ</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 ΕΙΔΙΚΩΝ ΦΟΡΟΛΟΓΙΚΩΝ ΕΛΕΓΧΩΝ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4"/>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 :</w:t>
            </w:r>
          </w:p>
          <w:p>
            <w:pPr>
              <w:spacing w:before="240" w:after="240"/>
              <w:rPr>
                <w:b w:val="0"/>
                <w:bCs w:val="0"/>
                <w:i w:val="0"/>
                <w:iCs w:val="0"/>
                <w:smallCaps w:val="0"/>
                <w:color w:val="000000"/>
                <w:lang w:val="el" w:eastAsia="el"/>
              </w:rPr>
            </w:pPr>
            <w:r>
              <w:rPr>
                <w:b/>
                <w:bCs/>
                <w:i w:val="0"/>
                <w:iCs w:val="0"/>
                <w:smallCaps w:val="0"/>
                <w:color w:val="000000"/>
                <w:lang w:val="el" w:eastAsia="el"/>
              </w:rPr>
              <w:t>Ταχ. Κώδικας :</w:t>
            </w:r>
          </w:p>
          <w:p>
            <w:pPr>
              <w:spacing w:before="240" w:after="240"/>
              <w:rPr>
                <w:b w:val="0"/>
                <w:bCs w:val="0"/>
                <w:i w:val="0"/>
                <w:iCs w:val="0"/>
                <w:smallCaps w:val="0"/>
                <w:color w:val="000000"/>
                <w:lang w:val="el" w:eastAsia="el"/>
              </w:rPr>
            </w:pPr>
            <w:r>
              <w:rPr>
                <w:b/>
                <w:bCs/>
                <w:i w:val="0"/>
                <w:iCs w:val="0"/>
                <w:smallCaps w:val="0"/>
                <w:color w:val="000000"/>
                <w:lang w:val="el" w:eastAsia="el"/>
              </w:rPr>
              <w:t>Πληροφορίες :</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 :</w:t>
            </w:r>
          </w:p>
          <w:p>
            <w:pPr>
              <w:spacing w:before="240" w:after="240"/>
              <w:rPr>
                <w:b w:val="0"/>
                <w:bCs w:val="0"/>
                <w:i w:val="0"/>
                <w:iCs w:val="0"/>
                <w:smallCaps w:val="0"/>
                <w:color w:val="000000"/>
                <w:lang w:val="el" w:eastAsia="el"/>
              </w:rPr>
            </w:pPr>
            <w:r>
              <w:rPr>
                <w:b/>
                <w:bCs/>
                <w:i w:val="0"/>
                <w:iCs w:val="0"/>
                <w:smallCaps w:val="0"/>
                <w:color w:val="000000"/>
                <w:lang w:val="el" w:eastAsia="el"/>
              </w:rPr>
              <w:t>Ηλ. ταχ. :</w:t>
            </w:r>
          </w:p>
          <w:p>
            <w:pPr>
              <w:spacing w:before="240"/>
              <w:rPr>
                <w:b w:val="0"/>
                <w:bCs w:val="0"/>
                <w:i w:val="0"/>
                <w:iCs w:val="0"/>
                <w:smallCaps w:val="0"/>
                <w:color w:val="000000"/>
                <w:lang w:val="el" w:eastAsia="el"/>
              </w:rPr>
            </w:pPr>
            <w:r>
              <w:rPr>
                <w:b/>
                <w:bCs/>
                <w:i w:val="0"/>
                <w:iCs w:val="0"/>
                <w:smallCaps w:val="0"/>
                <w:color w:val="000000"/>
                <w:lang w:val="el" w:eastAsia="el"/>
              </w:rPr>
              <w:t>Ιστοσελίδα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Καρ. Σερβίας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101 84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Αικ. Σιταρά, Ε. Παπαδοπούλου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 – 3375451, 3224239</w:t>
            </w:r>
          </w:p>
          <w:p>
            <w:pPr>
              <w:spacing w:before="240" w:after="240"/>
              <w:rPr>
                <w:b w:val="0"/>
                <w:bCs w:val="0"/>
                <w:i w:val="0"/>
                <w:iCs w:val="0"/>
                <w:smallCaps w:val="0"/>
                <w:color w:val="000000"/>
                <w:lang w:val="el" w:eastAsia="el"/>
              </w:rPr>
            </w:pPr>
            <w:hyperlink r:id="rId7" w:history="1">
              <w:r>
                <w:rPr>
                  <w:rStyle w:val="Hyperlink"/>
                  <w:b w:val="0"/>
                  <w:bCs w:val="0"/>
                  <w:i w:val="0"/>
                  <w:iCs w:val="0"/>
                  <w:smallCaps w:val="0"/>
                  <w:color w:val="0000EE"/>
                  <w:u w:color="0000EE"/>
                  <w:lang w:val="el" w:eastAsia="el"/>
                </w:rPr>
                <w:t>d.eleg4@mofadm.gr</w:t>
              </w:r>
            </w:hyperlink>
          </w:p>
          <w:p>
            <w:pPr>
              <w:spacing w:before="240"/>
              <w:rPr>
                <w:b w:val="0"/>
                <w:bCs w:val="0"/>
                <w:i w:val="0"/>
                <w:iCs w:val="0"/>
                <w:smallCaps w:val="0"/>
                <w:color w:val="000000"/>
                <w:lang w:val="el" w:eastAsia="el"/>
              </w:rPr>
            </w:pPr>
            <w:hyperlink r:id="rId8"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Β. Δ/ΝΣΗ ΕΦΑΡΜΟΓΗΣ ΑΜΕΣΗΣ ΦΟΡΟΛΟΓΙΑΣ ΤΜΗΜΑ Β΄ – ΝΟΜΙΚΩΝ ΠΡΟΣΩΠΩΝ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5"/>
        <w:gridCol w:w="32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 :</w:t>
            </w:r>
          </w:p>
          <w:p>
            <w:pPr>
              <w:spacing w:before="240" w:after="240"/>
              <w:rPr>
                <w:b w:val="0"/>
                <w:bCs w:val="0"/>
                <w:i w:val="0"/>
                <w:iCs w:val="0"/>
                <w:smallCaps w:val="0"/>
                <w:color w:val="000000"/>
                <w:lang w:val="el" w:eastAsia="el"/>
              </w:rPr>
            </w:pPr>
            <w:r>
              <w:rPr>
                <w:b/>
                <w:bCs/>
                <w:i w:val="0"/>
                <w:iCs w:val="0"/>
                <w:smallCaps w:val="0"/>
                <w:color w:val="000000"/>
                <w:lang w:val="el" w:eastAsia="el"/>
              </w:rPr>
              <w:t>Ταχ. Κώδικας :</w:t>
            </w:r>
          </w:p>
          <w:p>
            <w:pPr>
              <w:spacing w:before="240"/>
              <w:rPr>
                <w:b w:val="0"/>
                <w:bCs w:val="0"/>
                <w:i w:val="0"/>
                <w:iCs w:val="0"/>
                <w:smallCaps w:val="0"/>
                <w:color w:val="000000"/>
                <w:lang w:val="el" w:eastAsia="el"/>
              </w:rPr>
            </w:pPr>
            <w:r>
              <w:rPr>
                <w:b/>
                <w:bCs/>
                <w:i w:val="0"/>
                <w:iCs w:val="0"/>
                <w:smallCaps w:val="0"/>
                <w:color w:val="000000"/>
                <w:lang w:val="el" w:eastAsia="el"/>
              </w:rPr>
              <w:t>Πληροφορίες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Καρ. Σερβίας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101 84 Αθήνα</w:t>
            </w:r>
          </w:p>
          <w:p>
            <w:pPr>
              <w:spacing w:before="240"/>
              <w:rPr>
                <w:b w:val="0"/>
                <w:bCs w:val="0"/>
                <w:i w:val="0"/>
                <w:iCs w:val="0"/>
                <w:smallCaps w:val="0"/>
                <w:color w:val="000000"/>
                <w:lang w:val="el" w:eastAsia="el"/>
              </w:rPr>
            </w:pPr>
            <w:r>
              <w:rPr>
                <w:b w:val="0"/>
                <w:bCs w:val="0"/>
                <w:i w:val="0"/>
                <w:iCs w:val="0"/>
                <w:smallCaps w:val="0"/>
                <w:color w:val="000000"/>
                <w:lang w:val="el" w:eastAsia="el"/>
              </w:rPr>
              <w:t>Κ. Καρακικέ, Φ. Φανάρα</w:t>
            </w:r>
          </w:p>
        </w:tc>
      </w:tr>
    </w:tbl>
    <w:p>
      <w:pPr>
        <w:spacing w:before="240" w:after="240"/>
        <w:rPr>
          <w:lang w:val="el" w:eastAsia="el"/>
        </w:rPr>
      </w:pPr>
      <w:r>
        <w:rPr>
          <w:lang w:val="el" w:eastAsia="el"/>
        </w:rPr>
        <w:t>210 – 3375311</w:t>
      </w:r>
    </w:p>
    <w:p>
      <w:pPr>
        <w:spacing w:before="240" w:after="240"/>
        <w:rPr>
          <w:lang w:val="el" w:eastAsia="el"/>
        </w:rPr>
      </w:pPr>
      <w:hyperlink r:id="rId9" w:history="1">
        <w:r>
          <w:rPr>
            <w:rStyle w:val="Hyperlink"/>
            <w:color w:val="0000EE"/>
            <w:u w:color="0000EE"/>
            <w:lang w:val="el" w:eastAsia="el"/>
          </w:rPr>
          <w:t>d12.b@ yo.syzefxis.gov.gr</w:t>
        </w:r>
      </w:hyperlink>
    </w:p>
    <w:p>
      <w:pPr>
        <w:spacing w:before="240" w:after="240"/>
        <w:rPr>
          <w:lang w:val="el" w:eastAsia="el"/>
        </w:rPr>
      </w:pPr>
      <w:hyperlink r:id="rId10" w:history="1">
        <w:r>
          <w:rPr>
            <w:rStyle w:val="Hyperlink"/>
            <w:color w:val="0000EE"/>
            <w:u w:color="0000EE"/>
            <w:lang w:val="el" w:eastAsia="el"/>
          </w:rPr>
          <w:t>www.aade.gr</w:t>
        </w:r>
      </w:hyperlink>
    </w:p>
    <w:p>
      <w:pPr>
        <w:spacing w:before="240" w:after="240"/>
        <w:rPr>
          <w:lang w:val="el" w:eastAsia="el"/>
        </w:rPr>
      </w:pPr>
      <w:r>
        <w:rPr>
          <w:b/>
          <w:bCs/>
          <w:lang w:val="el" w:eastAsia="el"/>
        </w:rPr>
        <w:t>Θέμα: Διαδικασία εφαρμογής της υποβολής και ανταλλαγής των Εκθέσεων ανά Χώρα (CbC Reporting) σύμφωνα με τις διατάξεις των ν. 4170/2013 (Α΄163) και 4490/2017 (Α΄150)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1 του άρθρου 4, των παρ. 1, 4 και 5 του άρθρου 5 και της παρ. 5 του άρθρου 9ΑΑ του ν. 4170/2013 (Α΄ 163) «Ενσωμάτωση της Οδηγίας 2011/16/ΕΕ, ρύθμιση θεμάτων της ΕΛ.Τ.Ε., αναμόρφωση Οργανισμού του Ν.Σ.Κ. και άλλες διατάξεις», όπως ο νόμος αυτός τροποποιήθηκε, συμπληρώθηκε και ισχύει με τον ν. 4484/2017 (Α΄ 110).</w:t>
      </w:r>
    </w:p>
    <w:p>
      <w:pPr>
        <w:pStyle w:val="StructureList1"/>
        <w:spacing w:before="120" w:after="0"/>
        <w:rPr>
          <w:lang w:val="el" w:eastAsia="el"/>
        </w:rPr>
      </w:pPr>
      <w:r>
        <w:rPr>
          <w:b/>
          <w:bCs/>
          <w:lang w:val="el" w:eastAsia="el"/>
        </w:rPr>
        <w:t>β)</w:t>
      </w:r>
      <w:r>
        <w:rPr>
          <w:b/>
          <w:bCs/>
          <w:lang w:val="en" w:eastAsia="en"/>
        </w:rPr>
        <w:tab/>
      </w:r>
      <w:r>
        <w:rPr>
          <w:b/>
          <w:bCs/>
          <w:lang w:val="el" w:eastAsia="el"/>
        </w:rPr>
        <w:t>Της περιπτ. ια΄ της παρ. 1 του άρθρου δεύτερου και της παρ. 2 του άρθρου όγδοου του Μέρους Δεύτερου του ν. 4490/2017 (Α΄ 150), «Κύρωση της Πολυμερούς Συμφωνίας Αρμόδιων Αρχών για την Ανταλλαγή Εκθέσεων ανά Χώρα, διατάξεις εφαρμογής και λοιπές διατάξεις».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Κεφαλαίου Α΄ «Σύσταση Ανεξάρτητης Αρχής Δημοσίων Εσόδων» του Μέρους Πρώτου του ν. 4389/2016 (Α΄ 94) «Επείγουσες διατάξεις για την εφαρμογή της συμφωνίας δημοσιονομικών στόχων και διαρθρωτικών μεταρρυθμίσεων και άλλες διατάξεις».</w:t>
      </w:r>
    </w:p>
    <w:p>
      <w:pPr>
        <w:spacing w:before="240" w:after="240"/>
        <w:rPr>
          <w:lang w:val="el" w:eastAsia="el"/>
        </w:rPr>
      </w:pPr>
      <w:r>
        <w:rPr>
          <w:b/>
          <w:bCs/>
          <w:lang w:val="el" w:eastAsia="el"/>
        </w:rPr>
        <w:t>2. Τον Εκτελεστικό Κανονισμό (ΕΕ) 2015/2378 της Επιτροπής της 15</w:t>
      </w:r>
      <w:r>
        <w:rPr>
          <w:b/>
          <w:bCs/>
          <w:sz w:val="30"/>
          <w:szCs w:val="30"/>
          <w:vertAlign w:val="superscript"/>
          <w:lang w:val="el" w:eastAsia="el"/>
        </w:rPr>
        <w:t>ης</w:t>
      </w:r>
      <w:r>
        <w:rPr>
          <w:b/>
          <w:bCs/>
          <w:lang w:val="el" w:eastAsia="el"/>
        </w:rPr>
        <w:t xml:space="preserve"> Δεκεμβρίου 2015 για τη θέσπιση λεπτομερών κανόνων εφαρμογής ορισμένων διατάξεων της Οδηγίας 2011/16/ΕΕ του Συμβουλίου σχετικά με τη διοικητική συνεργασία στον τομέα της φορολογίας και την κατάργηση του εκτελεστικού Κανονισμού (ΕΕ) αριθ. 1156/2012 (ΕΕ L 332/19, 18.12.2015), όπως τροποποιήθηκε με τον Εκτελεστικό Κανονισμό (ΕΕ) 2016/1963 της Επιτροπής της 9</w:t>
      </w:r>
      <w:r>
        <w:rPr>
          <w:b/>
          <w:bCs/>
          <w:sz w:val="30"/>
          <w:szCs w:val="30"/>
          <w:vertAlign w:val="superscript"/>
          <w:lang w:val="el" w:eastAsia="el"/>
        </w:rPr>
        <w:t>ης</w:t>
      </w:r>
      <w:r>
        <w:rPr>
          <w:b/>
          <w:bCs/>
          <w:lang w:val="el" w:eastAsia="el"/>
        </w:rPr>
        <w:t xml:space="preserve"> Νοεμβρίου (EE L 303/4, 10.11.2016), και ιδίως τη διάταξη της παρ. 2 του άρθρου 2 σχετικά με τον ηλεκτρονικό μορφότυπο που πρόκειται να χρησιμοποιηθεί για την υποχρεωτική αυτόματη ανταλλαγή πληροφοριών μεταξύ των αρμόδιων αρχών των κρατών μελών.</w:t>
      </w:r>
    </w:p>
    <w:p>
      <w:pPr>
        <w:spacing w:before="240" w:after="240"/>
        <w:rPr>
          <w:lang w:val="el" w:eastAsia="el"/>
        </w:rPr>
      </w:pPr>
      <w:r>
        <w:rPr>
          <w:b/>
          <w:bCs/>
          <w:lang w:val="el" w:eastAsia="el"/>
        </w:rPr>
        <w:t>3. Την αρ. Δ. ΟΡΓ. Α 1036960 ΕΞ 2017/10.03.2017 (Β΄ 968) Απόφαση του Διοικητή της ΑΑΔΕ «Οργανισμός της Ανεξάρτητης Αρχής Δημοσίων Εσόδων (Α.Α.Δ.Ε.)».</w:t>
      </w:r>
    </w:p>
    <w:p>
      <w:pPr>
        <w:spacing w:before="240" w:after="240"/>
        <w:rPr>
          <w:lang w:val="el" w:eastAsia="el"/>
        </w:rPr>
      </w:pPr>
      <w:r>
        <w:rPr>
          <w:b/>
          <w:bCs/>
          <w:lang w:val="el" w:eastAsia="el"/>
        </w:rPr>
        <w:t>4. Την αρ. Δ6Α 1015213 ΕΞ 2013/28.1.2013 (Β΄130 και Β΄372) Aπόφαση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 α' της παρ. 3 του άρθρου 41 του ν. 4389/2016.</w:t>
      </w:r>
    </w:p>
    <w:p>
      <w:pPr>
        <w:spacing w:before="240" w:after="240"/>
        <w:rPr>
          <w:lang w:val="el" w:eastAsia="el"/>
        </w:rPr>
      </w:pPr>
      <w:r>
        <w:rPr>
          <w:b/>
          <w:bCs/>
          <w:lang w:val="el" w:eastAsia="el"/>
        </w:rPr>
        <w:t>5. Την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w:t>
      </w:r>
    </w:p>
    <w:p>
      <w:pPr>
        <w:spacing w:before="240" w:after="240"/>
        <w:rPr>
          <w:lang w:val="el" w:eastAsia="el"/>
        </w:rPr>
      </w:pPr>
      <w:r>
        <w:rPr>
          <w:b/>
          <w:bCs/>
          <w:lang w:val="el" w:eastAsia="el"/>
        </w:rPr>
        <w:t>6. Την ανάγκη ρύθμισης όλων των σχετικών θεμάτων, προκειμένου να εφαρμοστεί ομαλά και απρόσκοπτα το πλαίσιο της αυτόματης ανταλλαγής των Εκθέσεων ανά Χώρα.</w:t>
      </w:r>
    </w:p>
    <w:p>
      <w:pPr>
        <w:spacing w:before="240" w:after="240"/>
        <w:rPr>
          <w:lang w:val="el" w:eastAsia="el"/>
        </w:rPr>
      </w:pPr>
      <w:r>
        <w:rPr>
          <w:b/>
          <w:bCs/>
          <w:lang w:val="el" w:eastAsia="el"/>
        </w:rPr>
        <w:t>7. Το γεγονός ότι από τις διατάξεις της παρούσας απόφασης δεν προκαλείται δαπάνη σε βάρος του προϋπολογισμού της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Αρμόδια κατ’ ανάθεση αρχή για την υποδοχή και την αποστολή των πληροφοριώνστο πλαίσιο της αυτόματης ανταλλαγής των Εκθέσεων ανά Χώρα</w:t>
      </w:r>
    </w:p>
    <w:p>
      <w:pPr>
        <w:pStyle w:val="MainText"/>
        <w:spacing w:before="120" w:after="0"/>
        <w:rPr>
          <w:lang w:val="el" w:eastAsia="el"/>
        </w:rPr>
      </w:pPr>
      <w:r>
        <w:rPr>
          <w:b/>
          <w:bCs/>
          <w:lang w:val="el" w:eastAsia="el"/>
        </w:rPr>
        <w:t>1.</w:t>
      </w:r>
      <w:r>
        <w:rPr>
          <w:b/>
          <w:bCs/>
          <w:lang w:val="el" w:eastAsia="el"/>
        </w:rPr>
        <w:t xml:space="preserve"> Δυνάμει της παρ. 5 του άρθρου 5 του ν. 4170/2013, ως «Τμήμα Διασύνδεσης» ορίζεται το Τμήμα ΣΤ΄ Αυτόματης Ανταλλαγής Πληροφοριών και Υποδοχής Στοιχείων της Δ/νσης Ηλεκτρονικής Διακυβέρνησης της Γενικής Δ/νσης Ηλεκτρονικής Διακυβέρνησης και Ανθρώπινου Δυναμικού της ΑΑΔΕ, το οποίο και ενεργεί ως αρμόδια κατ’ ανάθεση αρχή για την υποδοχή και την αποστολή πληροφοριών στo πλαίσιo της αυτόματης ανταλλαγής των Εκθέσεων ανά Χώρα μεταξύ των κρατών μελών της Ευρωπαϊκής Ένωσης για τους σκοπούς της εφαρμογής των διατάξεων του ως άνω νόμου.</w:t>
      </w:r>
    </w:p>
    <w:p>
      <w:pPr>
        <w:pStyle w:val="MainText"/>
        <w:spacing w:before="120" w:after="0"/>
        <w:rPr>
          <w:lang w:val="el" w:eastAsia="el"/>
        </w:rPr>
      </w:pPr>
      <w:r>
        <w:rPr>
          <w:b/>
          <w:bCs/>
          <w:lang w:val="el" w:eastAsia="el"/>
        </w:rPr>
        <w:t>2.</w:t>
      </w:r>
      <w:r>
        <w:rPr>
          <w:b/>
          <w:bCs/>
          <w:lang w:val="el" w:eastAsia="el"/>
        </w:rPr>
        <w:t xml:space="preserve"> Δυνάμει της περιπτ. ια΄ της παρ. 1 του άρθρου δεύτερου του Μέρους Δεύτερου του ν. 4490/2017, ως «Τμήμα Διασύνδεσης» κατά την παρ. 5 του άρθρου 5 του ν. 4170/2013, ορίζεται το Τμήμα ΣΤ΄ Αυτόματης Ανταλλαγής Πληροφοριών και Υποδοχής Στοιχείων της Δ/νσης Ηλεκτρονικής Διακυβέρνησης της Γενικής Δ/νσης Ηλεκτρονικής Διακυβέρνησης και Ανθρώπινου Δυναμικού της ΑΑΔΕ, το οποίο και ενεργεί ως αρμόδια κατ’ ανάθεση αρχή για την υποδοχή και την αποστολή πληροφοριών στο πλαίσιο της αυτόματης ανταλλαγής των Εκθέσεων ανά Χώρα, για τους σκοπούς της εφαρμογής της Πολυμερούς Συμφωνίας Αρμόδιων Αρχών για την ανταλλαγή Εκθέσεων ανά Χώρα (ΠΣΑΑ).</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Χρόνος και τρόπος υποβολής των Εκθέσεων ανά Χώρα και των Γνωστοποιήσεων</w:t>
      </w:r>
    </w:p>
    <w:p>
      <w:pPr>
        <w:pStyle w:val="MainText"/>
        <w:spacing w:before="120" w:after="0"/>
        <w:rPr>
          <w:lang w:val="el" w:eastAsia="el"/>
        </w:rPr>
      </w:pPr>
      <w:r>
        <w:rPr>
          <w:b/>
          <w:bCs/>
          <w:lang w:val="el" w:eastAsia="el"/>
        </w:rPr>
        <w:t>1.</w:t>
      </w:r>
      <w:r>
        <w:rPr>
          <w:b/>
          <w:bCs/>
          <w:lang w:val="el" w:eastAsia="el"/>
        </w:rPr>
        <w:t xml:space="preserve"> Η Τελική Μητρική Οντότητα ενός Ομίλου Πολυεθνικής Επιχείρησης (Ομίλου ΠΕ) ή οποιαδήποτε άλλη Αναφέρουσα Οντότητα, με φορολογική κατοικία στην Ελλάδα, σύμφωνα με τις διατάξεις των ν. 4170/2013 και ν. 4490/2017, υποχρεούται να υποβάλλει την Έκθεση ανά Χώρα, για κάθε Φορολογικό Έτος, με τη χρήση ηλεκτρονικής μεθόδου επικοινωνίας στην αρμόδια κατ’ ανάθεση αρχή του άρθρου 1 της παρούσας, εντός δώδεκα (12) μηνών από την τελευταία ημέρα του Φορολογικού Έτους Υποβολής Εκθέσεων του Ομίλου ΠΕ. Ειδικά για τις περιπτώσεις των Ομίλων ΠΕ, των οποίων το Φορολογικό Έτος ξεκινά την ή μετά την 1</w:t>
      </w:r>
      <w:r>
        <w:rPr>
          <w:b/>
          <w:bCs/>
          <w:sz w:val="30"/>
          <w:szCs w:val="30"/>
          <w:vertAlign w:val="superscript"/>
          <w:lang w:val="el" w:eastAsia="el"/>
        </w:rPr>
        <w:t>η</w:t>
      </w:r>
      <w:r>
        <w:rPr>
          <w:b/>
          <w:bCs/>
          <w:lang w:val="el" w:eastAsia="el"/>
        </w:rPr>
        <w:t xml:space="preserve"> Ιανουαρίου 2016 και λήγει πριν την 31</w:t>
      </w:r>
      <w:r>
        <w:rPr>
          <w:b/>
          <w:bCs/>
          <w:sz w:val="30"/>
          <w:szCs w:val="30"/>
          <w:vertAlign w:val="superscript"/>
          <w:lang w:val="el" w:eastAsia="el"/>
        </w:rPr>
        <w:t>η</w:t>
      </w:r>
      <w:r>
        <w:rPr>
          <w:b/>
          <w:bCs/>
          <w:lang w:val="el" w:eastAsia="el"/>
        </w:rPr>
        <w:t xml:space="preserve"> Δεκεμβρίου 2016, ως προθεσμία υποβολής ορίζεται η 31</w:t>
      </w:r>
      <w:r>
        <w:rPr>
          <w:b/>
          <w:bCs/>
          <w:sz w:val="30"/>
          <w:szCs w:val="30"/>
          <w:vertAlign w:val="superscript"/>
          <w:lang w:val="el" w:eastAsia="el"/>
        </w:rPr>
        <w:t>η</w:t>
      </w:r>
      <w:r>
        <w:rPr>
          <w:b/>
          <w:bCs/>
          <w:lang w:val="el" w:eastAsia="el"/>
        </w:rPr>
        <w:t xml:space="preserve"> Δεκεμβρίου 2017. Σε περίπτωση αποδεδειγμένης τεχνικής αδυναμίας εκ μέρους της φορολογικής αρχής για την ολοκλήρωση της εμπρόθεσμης υποβολής των Εκθέσεων ανά Χώρα από τους υπόχρεους, η προθεσμία υποβολής για αυτούς παρατείνεται για επτά (7) εργάσιμες ημέρες από την φορολογική αρχή και επιτρέπει την ομαλή ολοκλήρωση της υποχρέωσης</w:t>
      </w:r>
      <w:r>
        <w:rPr>
          <w:b/>
          <w:bCs/>
          <w:i/>
          <w:iCs/>
          <w:lang w:val="el" w:eastAsia="el"/>
        </w:rPr>
        <w:t>.</w:t>
      </w:r>
      <w:r>
        <w:rPr>
          <w:b/>
          <w:bCs/>
          <w:lang w:val="el" w:eastAsia="el"/>
        </w:rPr>
        <w:t xml:space="preserve"> Επισημαίνεται ότι για τις περιπτώσεις των Ομίλων ΠΕ με φορολογικό έτος μικρότερο των 12 μηνών, το κατώφλι των 750.000.000 ευρώ εφαρμόζεται αναλογικά. Στην περίπτωση Ομίλου ΠΕ, του οποίου η Τελική Μητρική Οντότητα βρίσκεται σε δικαιοδοσία η οποία έχει ως κατώφλι το ισοδύναμο των 750.000.000 ευρώ σε όρους τοπικού νομίσματος, όπως αυτό ίσχυε τον Ιανουάριο 2015 και εφόσον εξαιρείται της υποχρέωσης υποβολής Έκθεσης ανά Χώρα βάσει του ανωτέρω κατωφλίου στη δικαιοδοσία αυτή, δεν προκύπτει υποχρέωση υποβολής Έκθεσης ανά Χώρα από Συνιστώσα Οντότητα του Ομίλου που βρίσκεται σε άλλη δικαιοδοσία, μόνο εκ του λόγου της διακύμανσης στη νομισματική ισοτιμία.</w:t>
      </w:r>
    </w:p>
    <w:p>
      <w:pPr>
        <w:pStyle w:val="MainText"/>
        <w:spacing w:before="120" w:after="0"/>
        <w:rPr>
          <w:lang w:val="el" w:eastAsia="el"/>
        </w:rPr>
      </w:pPr>
      <w:r>
        <w:rPr>
          <w:b/>
          <w:bCs/>
          <w:lang w:val="el" w:eastAsia="el"/>
        </w:rPr>
        <w:t>2.</w:t>
      </w:r>
      <w:r>
        <w:rPr>
          <w:b/>
          <w:bCs/>
          <w:lang w:val="el" w:eastAsia="el"/>
        </w:rPr>
        <w:t xml:space="preserve"> Η υποβολή των Εκθέσεων ανά Χώρα γίνεται μέσω ειδικής ηλεκτρονικής εφαρμογής Υποβολής των Εκθέσεων, που αναρτάται στην ιστοσελίδα της ΑΑΔΕ. Προϋπόθεση για την υποβολή της Έκθεσης είναι η ηλεκτρονική έκδοση κωδικών εισόδου από το φυσικό πρόσωπο που ορίζεται ως Υπεύθυνος Εγγραφής της Αναφέρουσας Οντότητας. Η έκδοση των κωδικών εισόδου από τους Υπεύθυνους Εγγραφής ολοκληρώνεται μέχρι την 15</w:t>
      </w:r>
      <w:r>
        <w:rPr>
          <w:b/>
          <w:bCs/>
          <w:sz w:val="30"/>
          <w:szCs w:val="30"/>
          <w:vertAlign w:val="superscript"/>
          <w:lang w:val="el" w:eastAsia="el"/>
        </w:rPr>
        <w:t>η</w:t>
      </w:r>
      <w:r>
        <w:rPr>
          <w:b/>
          <w:bCs/>
          <w:lang w:val="el" w:eastAsia="el"/>
        </w:rPr>
        <w:t xml:space="preserve"> Δεκεμβρίου 2017 με την αποστολή σχετικού τυποποιημένου μηνύματος ηλεκτρονικού ταχυδρομείου με συνημμένη επιστολή του Ομίλου ΠΕ. Τεχνικές οδηγίες και λεπτομέρειες για τον τρόπο εγγραφής και υποβολής των Εκθέσεων ανά Χώρα αναρτώνται στην ιστοσελίδα της Α.Α.Δ.Ε..</w:t>
      </w:r>
    </w:p>
    <w:p>
      <w:pPr>
        <w:pStyle w:val="MainText"/>
        <w:spacing w:before="120" w:after="0"/>
        <w:rPr>
          <w:lang w:val="el" w:eastAsia="el"/>
        </w:rPr>
      </w:pPr>
      <w:r>
        <w:rPr>
          <w:b/>
          <w:bCs/>
          <w:lang w:val="el" w:eastAsia="el"/>
        </w:rPr>
        <w:t>3.</w:t>
      </w:r>
      <w:r>
        <w:rPr>
          <w:b/>
          <w:bCs/>
          <w:lang w:val="el" w:eastAsia="el"/>
        </w:rPr>
        <w:t xml:space="preserve"> Οι Συνιστώσες Οντότητες των Ομίλων ΠΕ υποβάλλουν μέσω ηλεκτρονικού ταχυδρομείου τις Γνωστοποιήσεις των διατάξεων των παρ. 3 και 4 του Τμήματος ΙΙ του Παραρτήματος ΙΙΙ του Κεφαλαίου Η΄ του Μέρους Πρώτου του ν. 4170/2013 και των παρ. 1 και 2 του άρθρου τέταρτου του Μέρους Δεύτερου του ν. 4490/2017, το αργότερο έως την τελευταία ημέρα του Φορολογικού Έτους Υποβολής Εκθέσεων του Ομίλου ΠΕ. Ειδικά για το πρώτο έτος εφαρμογής, η προθεσμία αυτή παρατείνεται έως την τελευταία ημέρα υποβολής των Εκθέσεων ανά Χώρα. Κατ΄ εξαίρεση, η ως άνω παράταση (ήτοι μέχρι την 31</w:t>
      </w:r>
      <w:r>
        <w:rPr>
          <w:b/>
          <w:bCs/>
          <w:sz w:val="30"/>
          <w:szCs w:val="30"/>
          <w:vertAlign w:val="superscript"/>
          <w:lang w:val="el" w:eastAsia="el"/>
        </w:rPr>
        <w:t>η</w:t>
      </w:r>
      <w:r>
        <w:rPr>
          <w:b/>
          <w:bCs/>
          <w:lang w:val="el" w:eastAsia="el"/>
        </w:rPr>
        <w:t xml:space="preserve"> Δεκεμβρίου 2017) χορηγείται και για την υποβολή των Γνωστοποιήσεων, όσον αφορά στο Φορολογικό Έτος 2017.</w:t>
      </w:r>
    </w:p>
    <w:p>
      <w:pPr>
        <w:spacing w:before="240" w:after="240"/>
        <w:rPr>
          <w:lang w:val="el" w:eastAsia="el"/>
        </w:rPr>
      </w:pPr>
      <w:r>
        <w:rPr>
          <w:b/>
          <w:bCs/>
          <w:lang w:val="el" w:eastAsia="el"/>
        </w:rPr>
        <w:t>Η υποβολή των ως άνω Γνωστοποιήσεων γίνεται προς το Τμήμα Δ΄ της Διεύθυνσης Ελέγχων της Γενικής Διεύθυνσης Φορολογικής Διοίκησης της ΑΑΔΕ, στη διεύθυνση ηλεκτρονικού ταχυδρομείου</w:t>
      </w:r>
      <w:hyperlink r:id="rId11" w:history="1">
        <w:r>
          <w:rPr>
            <w:rStyle w:val="Hyperlink"/>
            <w:b/>
            <w:bCs/>
            <w:color w:val="0000EE"/>
            <w:u w:color="0000EE"/>
            <w:lang w:val="el" w:eastAsia="el"/>
          </w:rPr>
          <w:t>notifications.cbcfiling@ aade.gr</w:t>
        </w:r>
      </w:hyperlink>
      <w:r>
        <w:rPr>
          <w:b/>
          <w:bCs/>
          <w:lang w:val="el" w:eastAsia="el"/>
        </w:rPr>
        <w:t>, μέσω αποστολής ειδικής φόρμας, που αναρτάται στην ιστοσελίδα της ΑΑΔΕ.</w:t>
      </w:r>
    </w:p>
    <w:p>
      <w:pPr>
        <w:pStyle w:val="MainText"/>
        <w:spacing w:before="120" w:after="0"/>
        <w:rPr>
          <w:lang w:val="el" w:eastAsia="el"/>
        </w:rPr>
      </w:pPr>
      <w:r>
        <w:rPr>
          <w:b/>
          <w:bCs/>
          <w:lang w:val="el" w:eastAsia="el"/>
        </w:rPr>
        <w:t>4.</w:t>
      </w:r>
      <w:r>
        <w:rPr>
          <w:b/>
          <w:bCs/>
          <w:lang w:val="el" w:eastAsia="el"/>
        </w:rPr>
        <w:t xml:space="preserve"> Kατά την ηλεκτρονική υποβολή των Εκθέσεων ανά Χώρα και των Γνωστοποιήσεων, η αναγραφή της επωνυμίας των Ομίλων ΠΕ αποτυπώνεται στο λατινικό αλφάβητο, εφαρμόζοντας τα διεθνή πρότυπα μεταγραφής και μεταγραμματισμού, “transliteration rules”, (π.χ. ISO 843). Στα πεδία όπου υπάρχει ελεύθερο κείμενο (π.χ. Πίνακας 3 του Τμήματος ΙΙΙ του Παραρτήματος ΙΙΙ του ν. 4170/2013), το κείμενο υποβάλλεται και στην αγγλική γλώσσα.</w:t>
      </w:r>
    </w:p>
    <w:p>
      <w:pPr>
        <w:pStyle w:val="MainText"/>
        <w:spacing w:before="120" w:after="0"/>
        <w:rPr>
          <w:lang w:val="el" w:eastAsia="el"/>
        </w:rPr>
      </w:pPr>
      <w:r>
        <w:rPr>
          <w:b/>
          <w:bCs/>
          <w:lang w:val="el" w:eastAsia="el"/>
        </w:rPr>
        <w:t>5.</w:t>
      </w:r>
      <w:r>
        <w:rPr>
          <w:b/>
          <w:bCs/>
          <w:lang w:val="el" w:eastAsia="el"/>
        </w:rPr>
        <w:t xml:space="preserve"> Ο όρος «Συνδεδεμένα Μέρη» της τρίτης στήλης του Πίνακα 1 της Έκθεσης ανά Χώρα ερμηνεύεται ως ο όρος «Συνιστώσες Οντότητες» του Πίνακα 2 της Έκθεσης ανά Χώρα.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3Ζητήματα εφαρμογής</w:t>
      </w:r>
    </w:p>
    <w:p>
      <w:pPr>
        <w:spacing w:before="240" w:after="240"/>
        <w:rPr>
          <w:lang w:val="el" w:eastAsia="el"/>
        </w:rPr>
      </w:pPr>
      <w:r>
        <w:rPr>
          <w:b/>
          <w:bCs/>
          <w:lang w:val="el" w:eastAsia="el"/>
        </w:rPr>
        <w:t>Οι κατευθυντήριες γραμμές του Οργανισμού Οικονομικής Συνεργασίας και Ανάπτυξης (ΟΟΣΑ), για τις ενδοομιλικές συναλλαγές, όπως εκάστοτε ισχύουν, καθορίζουν τις τεχνικές και επιχειρησιακές λεπτομέρειες του τρόπου συμπλήρωσης και ανταλλαγής των Εκθέσεων ανά Χώρα.</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 xml:space="preserve">ΓΕΩΡΓΙΟΣ ΠΙΤΣΙΛΗΣ </w:t>
      </w: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Εθνικό Τυπογραφείο</w:t>
      </w:r>
    </w:p>
    <w:p>
      <w:pPr>
        <w:spacing w:before="240" w:after="240"/>
        <w:rPr>
          <w:lang w:val="el" w:eastAsia="el"/>
        </w:rPr>
      </w:pPr>
      <w:r>
        <w:rPr>
          <w:b/>
          <w:bCs/>
          <w:lang w:val="el" w:eastAsia="el"/>
        </w:rPr>
        <w:t>(στην ηλεκτρονική διεύθυνση</w:t>
      </w:r>
      <w:hyperlink r:id="rId12" w:history="1">
        <w:r>
          <w:rPr>
            <w:rStyle w:val="Hyperlink"/>
            <w:b/>
            <w:bCs/>
            <w:color w:val="0000EE"/>
            <w:u w:color="0000EE"/>
            <w:lang w:val="el" w:eastAsia="el"/>
          </w:rPr>
          <w:t>webmaster.et@et.gr</w:t>
        </w:r>
      </w:hyperlink>
      <w:r>
        <w:rPr>
          <w:b/>
          <w:bCs/>
          <w:lang w:val="el" w:eastAsia="el"/>
        </w:rPr>
        <w:t>), για δημοσίευση της απόφασης</w:t>
      </w:r>
    </w:p>
    <w:p>
      <w:pPr>
        <w:spacing w:before="240" w:after="240"/>
        <w:rPr>
          <w:lang w:val="el" w:eastAsia="el"/>
        </w:rPr>
      </w:pPr>
      <w:r>
        <w:rPr>
          <w:b/>
          <w:bCs/>
          <w:lang w:val="el" w:eastAsia="el"/>
        </w:rPr>
        <w:t>2. Διεύθυνση Ηλεκτρονικής Διακυβέρνησης</w:t>
      </w:r>
    </w:p>
    <w:p>
      <w:pPr>
        <w:spacing w:before="240" w:after="240"/>
        <w:rPr>
          <w:lang w:val="el" w:eastAsia="el"/>
        </w:rPr>
      </w:pPr>
      <w:r>
        <w:rPr>
          <w:b/>
          <w:bCs/>
          <w:lang w:val="el" w:eastAsia="el"/>
        </w:rPr>
        <w:t>3. Διεύθυνση Υποστήριξης Ηλεκτρονικών Υπηρεσιών</w:t>
      </w:r>
    </w:p>
    <w:p>
      <w:pPr>
        <w:spacing w:before="240" w:after="240"/>
        <w:rPr>
          <w:lang w:val="el" w:eastAsia="el"/>
        </w:rPr>
      </w:pPr>
      <w:r>
        <w:rPr>
          <w:b/>
          <w:bCs/>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4. Διεύθυνση Ελέγχων</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Υφυπουργού</w:t>
      </w:r>
    </w:p>
    <w:p>
      <w:pPr>
        <w:spacing w:before="240" w:after="240"/>
        <w:rPr>
          <w:lang w:val="el" w:eastAsia="el"/>
        </w:rPr>
      </w:pPr>
      <w:r>
        <w:rPr>
          <w:b/>
          <w:bCs/>
          <w:lang w:val="el" w:eastAsia="el"/>
        </w:rPr>
        <w:t>γ)Γραφείο Γενικού Γραμματέα Πληροφοριακών Συστημάτων και Διοικητικής Υποστήριξης Υπουργείου Οικονομικών</w:t>
      </w:r>
    </w:p>
    <w:p>
      <w:pPr>
        <w:pStyle w:val="StructureList1"/>
        <w:spacing w:before="120" w:after="0"/>
        <w:rPr>
          <w:lang w:val="el" w:eastAsia="el"/>
        </w:rPr>
      </w:pPr>
      <w:r>
        <w:rPr>
          <w:b/>
          <w:bCs/>
          <w:lang w:val="el" w:eastAsia="el"/>
        </w:rPr>
        <w:t>δ)</w:t>
      </w:r>
      <w:r>
        <w:rPr>
          <w:b/>
          <w:bCs/>
          <w:lang w:val="en" w:eastAsia="en"/>
        </w:rPr>
        <w:tab/>
      </w:r>
      <w:r>
        <w:rPr>
          <w:b/>
          <w:bCs/>
          <w:lang w:val="el" w:eastAsia="el"/>
        </w:rPr>
        <w:t>Γραφείο Ειδικού Γραμματέα ΣΔΟΕ</w:t>
      </w:r>
    </w:p>
    <w:p>
      <w:pPr>
        <w:pStyle w:val="StructureList1"/>
        <w:spacing w:before="120" w:after="0"/>
        <w:rPr>
          <w:lang w:val="el" w:eastAsia="el"/>
        </w:rPr>
      </w:pPr>
      <w:r>
        <w:rPr>
          <w:b/>
          <w:bCs/>
          <w:lang w:val="el" w:eastAsia="el"/>
        </w:rPr>
        <w:t>ε)</w:t>
      </w:r>
      <w:r>
        <w:rPr>
          <w:b/>
          <w:bCs/>
          <w:lang w:val="en" w:eastAsia="en"/>
        </w:rPr>
        <w:tab/>
      </w:r>
      <w:r>
        <w:rPr>
          <w:b/>
          <w:bCs/>
          <w:lang w:val="el" w:eastAsia="el"/>
        </w:rPr>
        <w:t>Γραφείο Γενικής Γραμματέως Οικονομικής Πολιτικής</w:t>
      </w:r>
    </w:p>
    <w:p>
      <w:pPr>
        <w:pStyle w:val="StructureList1"/>
        <w:spacing w:before="120" w:after="0"/>
        <w:rPr>
          <w:lang w:val="el" w:eastAsia="el"/>
        </w:rPr>
      </w:pPr>
      <w:r>
        <w:rPr>
          <w:b/>
          <w:bCs/>
          <w:lang w:val="el" w:eastAsia="el"/>
        </w:rPr>
        <w:t>στ)</w:t>
      </w:r>
      <w:r>
        <w:rPr>
          <w:b/>
          <w:bCs/>
          <w:lang w:val="en" w:eastAsia="en"/>
        </w:rPr>
        <w:tab/>
      </w:r>
      <w:r>
        <w:rPr>
          <w:b/>
          <w:bCs/>
          <w:lang w:val="el" w:eastAsia="el"/>
        </w:rPr>
        <w:t>Γραφείο Προϊσταμένου Γενικής Δ/νσης Οικονομικής Πολιτικής</w:t>
      </w:r>
    </w:p>
    <w:p>
      <w:pPr>
        <w:pStyle w:val="StructureList1"/>
        <w:spacing w:before="120" w:after="0"/>
        <w:rPr>
          <w:lang w:val="el" w:eastAsia="el"/>
        </w:rPr>
      </w:pPr>
      <w:r>
        <w:rPr>
          <w:b/>
          <w:bCs/>
          <w:lang w:val="el" w:eastAsia="el"/>
        </w:rPr>
        <w:t>ζ)</w:t>
      </w:r>
      <w:r>
        <w:rPr>
          <w:b/>
          <w:bCs/>
          <w:lang w:val="en" w:eastAsia="en"/>
        </w:rPr>
        <w:tab/>
      </w:r>
      <w:r>
        <w:rPr>
          <w:b/>
          <w:bCs/>
          <w:lang w:val="el" w:eastAsia="el"/>
        </w:rPr>
        <w:t>Μόνιμη Ελληνική Αντιπροσωπεία (ΜΕΑ) στον ΟΟΣΑ</w:t>
      </w:r>
    </w:p>
    <w:p>
      <w:pPr>
        <w:spacing w:before="240" w:after="240"/>
        <w:rPr>
          <w:lang w:val="el" w:eastAsia="el"/>
        </w:rPr>
      </w:pPr>
      <w:r>
        <w:rPr>
          <w:b/>
          <w:bCs/>
          <w:lang w:val="el" w:eastAsia="el"/>
        </w:rPr>
        <w:t>2. Πίνακες Αποδεκτών: Α΄, Β’, Ζ΄, 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Διοικητή της ΑΑΔΕ</w:t>
      </w:r>
    </w:p>
    <w:p>
      <w:pPr>
        <w:spacing w:before="240" w:after="240"/>
        <w:rPr>
          <w:lang w:val="el" w:eastAsia="el"/>
        </w:rPr>
      </w:pPr>
      <w:r>
        <w:rPr>
          <w:b/>
          <w:bCs/>
          <w:lang w:val="el" w:eastAsia="el"/>
        </w:rPr>
        <w:t>2. Προϊστάμενοι Γενικών Δ/νσεων της ΑΑΔΕ</w:t>
      </w:r>
    </w:p>
    <w:p>
      <w:pPr>
        <w:spacing w:before="240" w:after="240"/>
        <w:rPr>
          <w:lang w:val="el" w:eastAsia="el"/>
        </w:rPr>
      </w:pPr>
      <w:r>
        <w:rPr>
          <w:b/>
          <w:bCs/>
          <w:lang w:val="el" w:eastAsia="el"/>
        </w:rPr>
        <w:t>3. Φορολογική και Τελωνειακή Ακαδημία</w:t>
      </w:r>
    </w:p>
    <w:p>
      <w:pPr>
        <w:spacing w:before="240" w:after="240"/>
        <w:rPr>
          <w:lang w:val="el" w:eastAsia="el"/>
        </w:rPr>
      </w:pPr>
      <w:r>
        <w:rPr>
          <w:b/>
          <w:bCs/>
          <w:lang w:val="el" w:eastAsia="el"/>
        </w:rPr>
        <w:t>4. Δ/νσεις: α) Νομικής Υποστήριξης</w:t>
      </w:r>
    </w:p>
    <w:p>
      <w:pPr>
        <w:pStyle w:val="StructureList1"/>
        <w:spacing w:before="120" w:after="0"/>
        <w:rPr>
          <w:lang w:val="el" w:eastAsia="el"/>
        </w:rPr>
      </w:pPr>
      <w:r>
        <w:rPr>
          <w:b/>
          <w:bCs/>
          <w:lang w:val="el" w:eastAsia="el"/>
        </w:rPr>
        <w:t>β)</w:t>
      </w:r>
      <w:r>
        <w:rPr>
          <w:b/>
          <w:bCs/>
          <w:lang w:val="en" w:eastAsia="en"/>
        </w:rPr>
        <w:tab/>
      </w:r>
      <w:r>
        <w:rPr>
          <w:b/>
          <w:bCs/>
          <w:lang w:val="el" w:eastAsia="el"/>
        </w:rPr>
        <w:t>Διεθνών Οικονομικών Σχέσεων, Τμήμα Γ΄</w:t>
      </w:r>
    </w:p>
    <w:p>
      <w:pPr>
        <w:pStyle w:val="StructureList1"/>
        <w:spacing w:before="120" w:after="0"/>
        <w:rPr>
          <w:lang w:val="el" w:eastAsia="el"/>
        </w:rPr>
      </w:pPr>
      <w:r>
        <w:rPr>
          <w:b/>
          <w:bCs/>
          <w:lang w:val="el" w:eastAsia="el"/>
        </w:rPr>
        <w:t>γ)</w:t>
      </w:r>
      <w:r>
        <w:rPr>
          <w:b/>
          <w:bCs/>
          <w:lang w:val="en" w:eastAsia="en"/>
        </w:rPr>
        <w:tab/>
      </w:r>
      <w:r>
        <w:rPr>
          <w:b/>
          <w:bCs/>
          <w:lang w:val="el" w:eastAsia="el"/>
        </w:rPr>
        <w:t>Ηλεκτρονικής Διακυβέρνησης, Τμήμα ΣΤ’ δ) Ελέγχων, Τμήμα Δ’</w:t>
      </w:r>
    </w:p>
    <w:p>
      <w:pPr>
        <w:pStyle w:val="StructureList1"/>
        <w:spacing w:before="120" w:after="0"/>
        <w:rPr>
          <w:lang w:val="el" w:eastAsia="el"/>
        </w:rPr>
      </w:pPr>
      <w:r>
        <w:rPr>
          <w:b/>
          <w:bCs/>
          <w:lang w:val="el" w:eastAsia="el"/>
        </w:rPr>
        <w:t>ε)</w:t>
      </w:r>
      <w:r>
        <w:rPr>
          <w:b/>
          <w:bCs/>
          <w:lang w:val="en" w:eastAsia="en"/>
        </w:rPr>
        <w:tab/>
      </w:r>
      <w:r>
        <w:rPr>
          <w:b/>
          <w:bCs/>
          <w:lang w:val="el" w:eastAsia="el"/>
        </w:rPr>
        <w:t>Εφαρμογής Άμεσης Φορολογίας,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ade.gr" TargetMode="External" /><Relationship Id="rId11" Type="http://schemas.openxmlformats.org/officeDocument/2006/relationships/hyperlink" Target="mailto:notifications.cbcfiling@aade.gr" TargetMode="External" /><Relationship Id="rId12" Type="http://schemas.openxmlformats.org/officeDocument/2006/relationships/hyperlink" Target="mailto:webmaster.et@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balatos@aade.gr" TargetMode="External" /><Relationship Id="rId5" Type="http://schemas.openxmlformats.org/officeDocument/2006/relationships/hyperlink" Target="mailto:a.karavida@aade.gr" TargetMode="External" /><Relationship Id="rId6" Type="http://schemas.openxmlformats.org/officeDocument/2006/relationships/hyperlink" Target="http://www.aade.gr" TargetMode="External" /><Relationship Id="rId7" Type="http://schemas.openxmlformats.org/officeDocument/2006/relationships/hyperlink" Target="mailto:d.eleg4@mofadm.gr" TargetMode="External" /><Relationship Id="rId8" Type="http://schemas.openxmlformats.org/officeDocument/2006/relationships/hyperlink" Target="http://www.aade.gr" TargetMode="External" /><Relationship Id="rId9" Type="http://schemas.openxmlformats.org/officeDocument/2006/relationships/hyperlink" Target="mailto:d12.b@yo.syzefxis.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