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Κ.Υ.Α. αριθμ. 129345/2017</w:t>
      </w:r>
    </w:p>
    <w:p>
      <w:pPr>
        <w:pStyle w:val="Title"/>
        <w:spacing w:before="120" w:after="360"/>
        <w:rPr>
          <w:lang w:val="el" w:eastAsia="el"/>
        </w:rPr>
      </w:pPr>
      <w:r>
        <w:rPr>
          <w:lang w:val="el" w:eastAsia="el"/>
        </w:rPr>
        <w:t>Καθορισμός του ποσού, κατά είδος ενισχύσεων, για τα επενδυτικά σχέδια που υπάγονται στα καθεστώτα ενισχύσεων του αναπτυξιακού νόμου 4399/2016, «Γενική Επιχειρηματικότητα», «Νέες ανεξάρτητες MME», «Ενισχύσεις μηχανολογικού εξοπλισμού» και «Επενδύσεις μείζονος μεγέθους», του έτους 2017</w:t>
      </w:r>
    </w:p>
    <w:p>
      <w:pPr>
        <w:pStyle w:val="Title"/>
        <w:spacing w:before="120" w:after="360"/>
        <w:rPr>
          <w:lang w:val="el" w:eastAsia="el"/>
        </w:rPr>
      </w:pPr>
      <w:r>
        <w:rPr>
          <w:b/>
          <w:bCs/>
          <w:lang w:val="el" w:eastAsia="el"/>
        </w:rPr>
        <w:t>Αριθμ. 129345/24-11-2017</w:t>
      </w:r>
    </w:p>
    <w:p>
      <w:pPr>
        <w:pStyle w:val="PreambelText"/>
        <w:spacing w:before="240" w:after="240"/>
        <w:rPr>
          <w:lang w:val="el" w:eastAsia="el"/>
        </w:rPr>
      </w:pPr>
      <w:r>
        <w:rPr>
          <w:lang w:val="el" w:eastAsia="el"/>
        </w:rPr>
        <w:t>(ΦΕΚ Β' 4124/27-11-2017)</w:t>
      </w:r>
    </w:p>
    <w:p>
      <w:pPr>
        <w:pStyle w:val="PreambelText"/>
        <w:spacing w:before="240" w:after="240"/>
        <w:rPr>
          <w:lang w:val="el" w:eastAsia="el"/>
        </w:rPr>
      </w:pPr>
      <w:r>
        <w:rPr>
          <w:lang w:val="el" w:eastAsia="el"/>
        </w:rPr>
        <w:t>ΟΙ ΥΠΟΥΡΓΟΙ</w:t>
      </w:r>
    </w:p>
    <w:p>
      <w:pPr>
        <w:pStyle w:val="PreambelText"/>
        <w:spacing w:before="240" w:after="240"/>
        <w:rPr>
          <w:lang w:val="el" w:eastAsia="el"/>
        </w:rPr>
      </w:pPr>
      <w:r>
        <w:rPr>
          <w:lang w:val="el" w:eastAsia="el"/>
        </w:rPr>
        <w:t>ΟΙΚΟΝΟΜΙΑΣ ΚΑΙ ΑΝΑΠΤΥΞΗΣ ΟΙΚΟΝΟΜΙΚΩΝ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διατάξεις του ν. 4399/2016 «Θεσμικό πλαίσιο για τη σύσταση καθεστώτων Ενισχύσεων Ιδιωτικών Επενδύσεων για την περιφερειακή και οικονομική ανάπτυξη της χώρας -Σύσταση Αναπτυξιακού Συμβουλίου και άλλες διατάξεις» (Α΄ 117), όπως ισχύουν, και ειδικότερα την παρ. 1 του άρθρου 28 αυτού.</w:t>
      </w:r>
    </w:p>
    <w:p>
      <w:pPr>
        <w:pStyle w:val="PreambelText"/>
        <w:spacing w:before="240" w:after="240"/>
        <w:rPr>
          <w:lang w:val="el" w:eastAsia="el"/>
        </w:rPr>
      </w:pPr>
      <w:r>
        <w:rPr>
          <w:lang w:val="el" w:eastAsia="el"/>
        </w:rPr>
        <w:t>2. Το Γενικό Απαλλακτικό Κανονισμό 651/2014 της Ευρωπαϊκής Επιτροπής.</w:t>
      </w:r>
    </w:p>
    <w:p>
      <w:pPr>
        <w:pStyle w:val="PreambelText"/>
        <w:spacing w:before="240" w:after="240"/>
        <w:rPr>
          <w:lang w:val="el" w:eastAsia="el"/>
        </w:rPr>
      </w:pPr>
      <w:r>
        <w:rPr>
          <w:lang w:val="el" w:eastAsia="el"/>
        </w:rPr>
        <w:t>3. Τις διατάξεις του ν. 4270/2014 «Αρχές δημοσιονομικής διαχείρισης και εποπτείας (ενσωμάτωση της Οδηγίας 2011/85/ΕΕ) δημόσιο λογιστικό και άλλες διατάξεις», (Α΄ 143), όπως τροποποιήθηκε με το άρθρο 10 του ν. 4337/2015 (Α΄ 129).</w:t>
      </w:r>
    </w:p>
    <w:p>
      <w:pPr>
        <w:pStyle w:val="PreambelText"/>
        <w:spacing w:before="240" w:after="240"/>
        <w:rPr>
          <w:lang w:val="el" w:eastAsia="el"/>
        </w:rPr>
      </w:pPr>
      <w:r>
        <w:rPr>
          <w:lang w:val="el" w:eastAsia="el"/>
        </w:rPr>
        <w:t>4. Το άρθρο 90 του «Κώδικα για την Κυβέρνηση και κυβερνητικά όργανα» που κυρώθηκε με το άρθρο πρώτο του π.δ. 63/2005, (Α΄ 98).</w:t>
      </w:r>
    </w:p>
    <w:p>
      <w:pPr>
        <w:pStyle w:val="PreambelText"/>
        <w:spacing w:before="240" w:after="240"/>
        <w:rPr>
          <w:lang w:val="el" w:eastAsia="el"/>
        </w:rPr>
      </w:pPr>
      <w:r>
        <w:rPr>
          <w:lang w:val="el" w:eastAsia="el"/>
        </w:rPr>
        <w:t>5. Τις διατάξεις του π.δ. 116/2014 «Οργανισμός του Υπουργείου Ανάπτυξης και Ανταγωνιστικότητας» (Α΄ 185), όπως ισχύει.</w:t>
      </w:r>
    </w:p>
    <w:p>
      <w:pPr>
        <w:pStyle w:val="PreambelText"/>
        <w:spacing w:before="240" w:after="240"/>
        <w:rPr>
          <w:lang w:val="el" w:eastAsia="el"/>
        </w:rPr>
      </w:pPr>
      <w:r>
        <w:rPr>
          <w:lang w:val="el" w:eastAsia="el"/>
        </w:rPr>
        <w:t>6. Τις διατάξεις του π.δ. 123/2016 «Ανασύσταση και μετονομασία του Υπουργείου Διοικητικής Μεταρρύθμισης και Ηλεκτρονικής Διακυβέρνησης, ανασύσταση του Υπουργείου Τουρισμού, σύσταση Υπουργείου Μεταναστευτικής Πολιτικής και Υπουργείου Ψηφιακής Πολιτικής, Τηλεπικοινωνιών και Ενημέρωσης, μετονομασία Υπουργείων Εσωτερικών και Διοικητικής Ανασυγκρότησης, Οικονομίας, Ανάπτυξης και Τουρισμού και Υποδομών, Μεταφορών και Δικτύων» (Α΄ 208).</w:t>
      </w:r>
    </w:p>
    <w:p>
      <w:pPr>
        <w:pStyle w:val="PreambelText"/>
        <w:spacing w:before="240" w:after="240"/>
        <w:rPr>
          <w:lang w:val="el" w:eastAsia="el"/>
        </w:rPr>
      </w:pPr>
      <w:r>
        <w:rPr>
          <w:lang w:val="el" w:eastAsia="el"/>
        </w:rPr>
        <w:t>7. Το π.δ. 125/2016 «Διορισμός Υπουργών, Αναπληρωτών Υπουργών και Υφυπουργών» (Α΄ 210).</w:t>
      </w:r>
    </w:p>
    <w:p>
      <w:pPr>
        <w:pStyle w:val="PreambelText"/>
        <w:spacing w:before="240" w:after="240"/>
        <w:rPr>
          <w:lang w:val="el" w:eastAsia="el"/>
        </w:rPr>
      </w:pPr>
      <w:r>
        <w:rPr>
          <w:lang w:val="el" w:eastAsia="el"/>
        </w:rPr>
        <w:t>8. Την απόφαση του Πρωθυπουργού με αρ. Υ197/16.11.2016 «Ανάθεση αρμοδιοτήτων στον Αναπληρωτή Υπουργό Οικονομίας και Ανάπτυξης, Αλέξανδρο Χαρίτση» (ΦΕΚ Β΄ 3722), όπως τροποποιήθηκε με την απόφαση του πρωθυπουργού με αρ. Υ226/28.12.2016 «Τροποποίηση απόφασης ανάθεσης αρμοδιοτήτων στον Αναπληρωτή Υπουργό Οικονομίας και Ανάπτυξης, Αλέξανδρο Χαρίτση» (Β΄ 4233).</w:t>
      </w:r>
    </w:p>
    <w:p>
      <w:pPr>
        <w:pStyle w:val="PreambelText"/>
        <w:spacing w:before="240" w:after="240"/>
        <w:rPr>
          <w:lang w:val="el" w:eastAsia="el"/>
        </w:rPr>
      </w:pPr>
      <w:r>
        <w:rPr>
          <w:lang w:val="el" w:eastAsia="el"/>
        </w:rPr>
        <w:t>9. Την υπ’ αριθμ. Υ29/8.10.2015 απόφαση του Πρωθυπουργού «Ανάθεση αρμοδιοτήτων στον Αναπληρωτή Υπουργό Οικονομικών Γεώργιο Χουλιαράκη» (Β΄2168).</w:t>
      </w:r>
    </w:p>
    <w:p>
      <w:pPr>
        <w:pStyle w:val="PreambelText"/>
        <w:spacing w:before="240" w:after="240"/>
        <w:rPr>
          <w:lang w:val="el" w:eastAsia="el"/>
        </w:rPr>
      </w:pPr>
      <w:r>
        <w:rPr>
          <w:lang w:val="el" w:eastAsia="el"/>
        </w:rPr>
        <w:t>10. Την υπ’ αριθμ. 44672/24.4.2015 απόφαση διορισμού μετακλητού Γενικού Γραμματέα της Γενικής Γραμματείας Στρατηγικών και Ιδιωτικών Επενδύσεων του Υπουργείου Οικονομίας, Υποδομών, Ναυτιλίας και Τουρισμού (ΥΟΔΔ 279).</w:t>
      </w:r>
    </w:p>
    <w:p>
      <w:pPr>
        <w:pStyle w:val="PreambelText"/>
        <w:spacing w:before="240" w:after="240"/>
        <w:rPr>
          <w:lang w:val="el" w:eastAsia="el"/>
        </w:rPr>
      </w:pPr>
      <w:r>
        <w:rPr>
          <w:lang w:val="el" w:eastAsia="el"/>
        </w:rPr>
        <w:t>11. Την από 31-7-2017 υποβολή στην Ευρωπαϊκή Επιτροπή του σχεδίου αξιολόγησης για το καθεστώς ενισχύσεων της «γενικής επιχειρηματικότητας» (S.A. 47412) του ν. 4399/2016, για την αύξηση του μέσου ετήσιου προϋπολογισμού αυτού, πέραν των ορίων που προβλέπονται στο άρθρο 1 του κανονισμού (ΕΕ) αρ. 651/2014.</w:t>
      </w:r>
    </w:p>
    <w:p>
      <w:pPr>
        <w:pStyle w:val="PreambelText"/>
        <w:spacing w:before="240" w:after="240"/>
        <w:rPr>
          <w:lang w:val="el" w:eastAsia="el"/>
        </w:rPr>
      </w:pPr>
      <w:r>
        <w:rPr>
          <w:lang w:val="el" w:eastAsia="el"/>
        </w:rPr>
        <w:t>12. Την υπ’αριθμ. ΓΔΟΥ 1443/7-11-2017 Ειδική Έκθεση (άρθρο 75 παρ. 3 του Συντάγματος και άρθρο 24 παρ. 5ε του ν. 4270/2014, όπως τροποποιήθηκε με το άρθρο 10 παρ. 6 του ν. 4337/2015) του Προϊστάμενου της Γενικής Διεύθυνσης Οικονομικών Υπηρεσιών του Υπουργείου Οικονομίας και Ανάπτυξης.</w:t>
      </w:r>
    </w:p>
    <w:p>
      <w:pPr>
        <w:pStyle w:val="PreambelText"/>
        <w:spacing w:before="240" w:after="240"/>
        <w:rPr>
          <w:lang w:val="el" w:eastAsia="el"/>
        </w:rPr>
      </w:pPr>
      <w:r>
        <w:rPr>
          <w:lang w:val="el" w:eastAsia="el"/>
        </w:rPr>
        <w:t xml:space="preserve">13. Το γεγονός ότι από τις διατάξεις της παρούσας απόφασης προκαλείται επιβάρυνση του κρατικού προϋπολογισμού, το ύψος της οποίας αναφέρεται στο άρθρο 4 της παρούσας, </w:t>
      </w:r>
    </w:p>
    <w:p>
      <w:pPr>
        <w:pStyle w:val="PreambelText"/>
        <w:spacing w:before="240" w:after="240"/>
        <w:rPr>
          <w:lang w:val="el" w:eastAsia="el"/>
        </w:rPr>
      </w:pPr>
      <w:r>
        <w:rPr>
          <w:b/>
          <w:bCs/>
          <w:i/>
          <w:iCs/>
          <w:lang w:val="el" w:eastAsia="el"/>
        </w:rPr>
        <w:t>αποφασίζουμε:</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Ποσό φορολογικής απαλλαγής</w:t>
      </w:r>
    </w:p>
    <w:p>
      <w:pPr>
        <w:pStyle w:val="MainText"/>
        <w:spacing w:before="120" w:after="0"/>
        <w:rPr>
          <w:lang w:val="el" w:eastAsia="el"/>
        </w:rPr>
      </w:pPr>
      <w:r>
        <w:rPr>
          <w:b/>
          <w:bCs/>
          <w:lang w:val="el" w:eastAsia="el"/>
        </w:rPr>
        <w:t>1.</w:t>
      </w:r>
      <w:r>
        <w:rPr>
          <w:lang w:val="el" w:eastAsia="el"/>
        </w:rPr>
        <w:t xml:space="preserve"> Το συνολικό ποσό της φορολογικής απαλλαγής των καθεστώτων του ν. 4399/2016 που προκηρύσσονται το έτος 2017, καθορίζεται ως εξής:</w:t>
      </w:r>
    </w:p>
    <w:p>
      <w:pPr>
        <w:spacing w:before="240" w:after="240"/>
        <w:rPr>
          <w:lang w:val="el" w:eastAsia="el"/>
        </w:rPr>
      </w:pPr>
      <w:r>
        <w:rPr>
          <w:lang w:val="el" w:eastAsia="el"/>
        </w:rPr>
        <w:t>Για το καθεστώς</w:t>
      </w:r>
    </w:p>
    <w:p>
      <w:pPr>
        <w:spacing w:before="240" w:after="240"/>
        <w:rPr>
          <w:lang w:val="el" w:eastAsia="el"/>
        </w:rPr>
      </w:pPr>
      <w:r>
        <w:rPr>
          <w:lang w:val="el" w:eastAsia="el"/>
        </w:rPr>
        <w:t>α. των ενισχύσεων μηχανολογικού εξοπλισμού, στα εκατόν πενήντα εκατομμύρια (150.000.000) ευρώ,</w:t>
      </w:r>
    </w:p>
    <w:p>
      <w:pPr>
        <w:spacing w:before="240" w:after="240"/>
        <w:rPr>
          <w:lang w:val="el" w:eastAsia="el"/>
        </w:rPr>
      </w:pPr>
      <w:r>
        <w:rPr>
          <w:lang w:val="el" w:eastAsia="el"/>
        </w:rPr>
        <w:t>β. της γενικής επιχειρηματικότητας, στα διακόσια πενήντα ένα εκατομμύρια (251.000.000) ευρώ,</w:t>
      </w:r>
      <w:r>
        <w:rPr>
          <w:rStyle w:val="Hyperlink"/>
          <w:color w:val="000000"/>
          <w:sz w:val="20"/>
          <w:szCs w:val="20"/>
          <w:u w:val="none" w:color="0000EE"/>
          <w:vertAlign w:val="superscript"/>
          <w:lang w:val="el" w:eastAsia="el"/>
        </w:rPr>
        <w:footnoteReference w:id="2"/>
      </w:r>
    </w:p>
    <w:p>
      <w:pPr>
        <w:spacing w:before="240" w:after="240"/>
        <w:rPr>
          <w:lang w:val="el" w:eastAsia="el"/>
        </w:rPr>
      </w:pPr>
      <w:r>
        <w:rPr>
          <w:lang w:val="el" w:eastAsia="el"/>
        </w:rPr>
        <w:t>γ. των Νέων Ανεξάρτητων ΜΜΕ, στα δύο εκατομμύρια (2.000.000) ευρώ.</w:t>
      </w:r>
    </w:p>
    <w:p>
      <w:pPr>
        <w:pStyle w:val="MainText"/>
        <w:spacing w:before="120" w:after="0"/>
        <w:rPr>
          <w:lang w:val="el" w:eastAsia="el"/>
        </w:rPr>
      </w:pPr>
      <w:r>
        <w:rPr>
          <w:b/>
          <w:bCs/>
          <w:lang w:val="el" w:eastAsia="el"/>
        </w:rPr>
        <w:t>2.</w:t>
      </w:r>
      <w:r>
        <w:rPr>
          <w:lang w:val="el" w:eastAsia="el"/>
        </w:rPr>
        <w:t xml:space="preserve"> Το συνολικό ποσό της φορολογικής απαλλαγής και του οφέλους από τη σταθεροποίηση του συντελεστή φορολογίας εισοδήματος του καθεστώτος του ν. 4399/2016 που προκηρύσσεται το έτος 2017 και αφορά τις επενδύσεις μείζονος μεγέθους καθορίζεται στα εξήντα εκατομμύρια (60.000.000) ευρώ.</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Ποσό επιχορήγησης, επιδότησης χρηματοδοτικής μίσθωσης και επιδότησης του κόστους της δημιουργούμενης απασχόλησης.</w:t>
      </w:r>
    </w:p>
    <w:p>
      <w:pPr>
        <w:spacing w:before="240" w:after="240"/>
        <w:rPr>
          <w:lang w:val="el" w:eastAsia="el"/>
        </w:rPr>
      </w:pPr>
      <w:r>
        <w:rPr>
          <w:lang w:val="el" w:eastAsia="el"/>
        </w:rPr>
        <w:t>Το συνολικό ποσό της επιχορήγησης, της επιδότησης χρηματοδοτικής μίσθωσης και της επιδότησης του κόστους της δημιουργούμενης απασχόλησης των καθεστώτων του ν. 4399/2016 που προκηρύσσονται το έτος 2017, καθορίζεται ως εξής:</w:t>
      </w:r>
    </w:p>
    <w:p>
      <w:pPr>
        <w:spacing w:before="240" w:after="240"/>
        <w:rPr>
          <w:lang w:val="el" w:eastAsia="el"/>
        </w:rPr>
      </w:pPr>
      <w:r>
        <w:rPr>
          <w:lang w:val="el" w:eastAsia="el"/>
        </w:rPr>
        <w:t>Για το καθεστώς,</w:t>
      </w:r>
    </w:p>
    <w:p>
      <w:pPr>
        <w:spacing w:before="240" w:after="240"/>
        <w:rPr>
          <w:lang w:val="el" w:eastAsia="el"/>
        </w:rPr>
      </w:pPr>
      <w:r>
        <w:rPr>
          <w:lang w:val="el" w:eastAsia="el"/>
        </w:rPr>
        <w:t>α. Της γενικής επιχειρηματικότητας, στα εκατόν εβδομήντα εκατομμύρια (170.000.000) ευρώ,</w:t>
      </w:r>
      <w:r>
        <w:rPr>
          <w:rStyle w:val="Hyperlink"/>
          <w:color w:val="000000"/>
          <w:sz w:val="20"/>
          <w:szCs w:val="20"/>
          <w:u w:val="none" w:color="0000EE"/>
          <w:vertAlign w:val="superscript"/>
          <w:lang w:val="el" w:eastAsia="el"/>
        </w:rPr>
        <w:footnoteReference w:id="3"/>
      </w:r>
    </w:p>
    <w:p>
      <w:pPr>
        <w:spacing w:before="240" w:after="240"/>
        <w:rPr>
          <w:lang w:val="el" w:eastAsia="el"/>
        </w:rPr>
      </w:pPr>
      <w:r>
        <w:rPr>
          <w:lang w:val="el" w:eastAsia="el"/>
        </w:rPr>
        <w:t>β. των Νέων Ανεξάρτητων ΜΜΕ, στα τετρακόσια τρία εκατομμύρια (403.000.000) ευρώ.</w:t>
      </w:r>
    </w:p>
    <w:p>
      <w:pPr>
        <w:pStyle w:val="Heading6"/>
        <w:spacing w:before="240" w:after="240"/>
        <w:rPr>
          <w:lang w:val="el" w:eastAsia="el"/>
        </w:rPr>
      </w:pPr>
      <w:r>
        <w:rPr>
          <w:rStyle w:val="article-num"/>
          <w:b/>
          <w:bCs/>
          <w:lang w:val="el" w:eastAsia="el"/>
        </w:rPr>
        <w:t>Άρθρο 3</w:t>
      </w:r>
    </w:p>
    <w:p>
      <w:pPr>
        <w:spacing w:before="240" w:after="240"/>
        <w:rPr>
          <w:lang w:val="el" w:eastAsia="el"/>
        </w:rPr>
      </w:pPr>
      <w:r>
        <w:rPr>
          <w:lang w:val="el" w:eastAsia="el"/>
        </w:rPr>
        <w:t>Από τα ως άνω του άρθρου 1, παρ. 1 και 2, οριζόμενα ποσά, μέρος αυτών αφορά τις ενισχύσεις της φορολογικής απαλλαγής, της επιχορήγησης, της επιδότησης χρηματοδοτικής μίσθωσης και της επιδότησης του κόστους της δημιουργούμενης απασχόλησης για τα επενδυτικά σχέδια που θα υπαχθούν στα καθεστώτα της γενικής επιχειρηματικότητας και των νέων ανεξάρτητων MME, σύμφωνα με την κοινή απόφαση των Υπουργών Οικονομίας και Ανάπτυξης και Αγροτικής Ανάπτυξης και Τροφίμων για τον καθορισμό των ειδών επενδυτικών σχεδίων του τομέα πρωτογενούς γεωργικής παραγωγής των πολύ μικρών, μικρών και μεσαίων επιχειρήσεων η οποία εκδίδεται στη βάση του Κανονισμού 702/2014 της Επιτροπής της 25ης Ιουνίου «για την κήρυξη ορισμένων κατηγοριών ενισχύσεων στους τομείς της γεωργίας και δασοκομίας και σε αγροτικές περιοχές συμβιβάσιμων με την εσωτερική αγορά....» και των ρυθμίσεων του άρθρου 7 παρ. 6β (ββ) και του άρθρου 3 παρ. 3 του ν. 4399/2016.</w:t>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Πηγές Χρηματοδότησης - Επιβάρυνση Κρατικού Προϋπολογισμού</w:t>
      </w:r>
    </w:p>
    <w:p>
      <w:pPr>
        <w:spacing w:before="240" w:after="240"/>
        <w:rPr>
          <w:lang w:val="el" w:eastAsia="el"/>
        </w:rPr>
      </w:pPr>
      <w:r>
        <w:rPr>
          <w:lang w:val="el" w:eastAsia="el"/>
        </w:rPr>
        <w:t xml:space="preserve">  </w:t>
      </w:r>
    </w:p>
    <w:p>
      <w:pPr>
        <w:spacing w:before="240" w:after="240"/>
        <w:rPr>
          <w:lang w:val="el" w:eastAsia="el"/>
        </w:rPr>
      </w:pPr>
      <w:r>
        <w:rPr>
          <w:lang w:val="el" w:eastAsia="el"/>
        </w:rPr>
        <w:t>α. Τα ποσά των επιχορηγήσεων, της επιδότησης χρηματοδοτικής μίσθωσης και της επιδότησης του κόστους της δημιουργούμενης απασχόλησης των επενδυτικών σχεδίων της παρούσας απόφασης καλύπτονται από τον Προϋπολογισμό Δημοσίων Επενδύσεων στον οποίο εγγράφεται η δαπάνη των πεντακοσίων εβδομήντα τριών εκατομμυρίων (573.000.000) ευρώ, και δύναται να προ-έλθουν από εθνικούς πόρους ή τα Ευρωπαϊκά Διαρθρωτικά και Επενδυτικά Ταμεία.</w:t>
      </w:r>
      <w:r>
        <w:rPr>
          <w:rStyle w:val="Hyperlink"/>
          <w:color w:val="000000"/>
          <w:sz w:val="20"/>
          <w:szCs w:val="20"/>
          <w:u w:val="none" w:color="0000EE"/>
          <w:vertAlign w:val="superscript"/>
          <w:lang w:val="el" w:eastAsia="el"/>
        </w:rPr>
        <w:footnoteReference w:id="4"/>
      </w:r>
    </w:p>
    <w:p>
      <w:pPr>
        <w:spacing w:before="240" w:after="240"/>
        <w:rPr>
          <w:lang w:val="el" w:eastAsia="el"/>
        </w:rPr>
      </w:pPr>
      <w:r>
        <w:rPr>
          <w:lang w:val="el" w:eastAsia="el"/>
        </w:rPr>
        <w:t>β. Από τις διατάξεις της παρούσας απόφασης εκτιμάται ότι</w:t>
      </w:r>
      <w:r>
        <w:rPr>
          <w:rStyle w:val="Hyperlink"/>
          <w:color w:val="000000"/>
          <w:sz w:val="20"/>
          <w:szCs w:val="20"/>
          <w:u w:val="none" w:color="0000EE"/>
          <w:vertAlign w:val="superscript"/>
          <w:lang w:val="el" w:eastAsia="el"/>
        </w:rPr>
        <w:footnoteReference w:id="5"/>
      </w:r>
    </w:p>
    <w:p>
      <w:pPr>
        <w:spacing w:before="240" w:after="240"/>
        <w:rPr>
          <w:lang w:val="el" w:eastAsia="el"/>
        </w:rPr>
      </w:pPr>
      <w:r>
        <w:rPr>
          <w:lang w:val="el" w:eastAsia="el"/>
        </w:rPr>
        <w:t>i. για το έτος 2017 καθώς και για το έτος 2018 δεν προκύπτει δαπάνη σε βάρος του Προϋπολογισμού Δημοσίων Επενδύσεων καθώς και απώλεια φορολογικών εσόδων,</w:t>
      </w:r>
      <w:r>
        <w:rPr>
          <w:rStyle w:val="Hyperlink"/>
          <w:color w:val="000000"/>
          <w:sz w:val="20"/>
          <w:szCs w:val="20"/>
          <w:u w:val="none" w:color="0000EE"/>
          <w:vertAlign w:val="superscript"/>
          <w:lang w:val="el" w:eastAsia="el"/>
        </w:rPr>
        <w:footnoteReference w:id="6"/>
      </w:r>
    </w:p>
    <w:p>
      <w:pPr>
        <w:spacing w:before="240" w:after="240"/>
        <w:rPr>
          <w:lang w:val="el" w:eastAsia="el"/>
        </w:rPr>
      </w:pPr>
      <w:r>
        <w:rPr>
          <w:lang w:val="el" w:eastAsia="el"/>
        </w:rPr>
        <w:t>ii. για το έτος 2019 δεν θα προκύψει δαπάνη σε βάρος του Προϋπολογισμού Δημοσίων Επενδύσεων καθώς και απώλεια φορολογικών εσόδων,</w:t>
      </w:r>
      <w:r>
        <w:rPr>
          <w:rStyle w:val="Hyperlink"/>
          <w:color w:val="000000"/>
          <w:sz w:val="20"/>
          <w:szCs w:val="20"/>
          <w:u w:val="none" w:color="0000EE"/>
          <w:vertAlign w:val="superscript"/>
          <w:lang w:val="el" w:eastAsia="el"/>
        </w:rPr>
        <w:footnoteReference w:id="7"/>
      </w:r>
    </w:p>
    <w:p>
      <w:pPr>
        <w:spacing w:before="240" w:after="240"/>
        <w:rPr>
          <w:lang w:val="el" w:eastAsia="el"/>
        </w:rPr>
      </w:pPr>
      <w:r>
        <w:rPr>
          <w:lang w:val="el" w:eastAsia="el"/>
        </w:rPr>
        <w:t>iii. για τα επόμενα τρία έτη (2020, 2021, 2022) θα προκύψει δαπάνη πεντακοσίων σαράντα τριών εκατομμυρίων (543.000.000) ευρώ σε βάρος του Προϋπολογισμού Δημοσίων Επενδύσεων. Για τα έτη αυτά θα προκύψει απώλεια φορολογικών εσόδων ύψους ογδόντα εκατομμυρίων (80.000.000) ευρώ,</w:t>
      </w:r>
      <w:r>
        <w:rPr>
          <w:rStyle w:val="Hyperlink"/>
          <w:color w:val="000000"/>
          <w:sz w:val="20"/>
          <w:szCs w:val="20"/>
          <w:u w:val="none" w:color="0000EE"/>
          <w:vertAlign w:val="superscript"/>
          <w:lang w:val="el" w:eastAsia="el"/>
        </w:rPr>
        <w:footnoteReference w:id="8"/>
      </w:r>
    </w:p>
    <w:p>
      <w:pPr>
        <w:spacing w:before="240" w:after="240"/>
        <w:rPr>
          <w:lang w:val="el" w:eastAsia="el"/>
        </w:rPr>
      </w:pPr>
      <w:r>
        <w:rPr>
          <w:lang w:val="el" w:eastAsia="el"/>
        </w:rPr>
        <w:t>iv. για το έτος 2023 θα προκύψει δαπάνη είκοσι δύο εκατομμυρίων (22.000.000) ευρώ σε βάρος του Προϋπολογισμού Δημοσίων Επενδύσεων και για το έτος 2024 θα προκύψει δαπάνη οκτώ εκατομμυρίων (8.000.000) ευρώ σε βάρος του Προϋπολογισμού Δημοσίων Επενδύσεων.</w:t>
      </w:r>
      <w:r>
        <w:rPr>
          <w:rStyle w:val="Hyperlink"/>
          <w:color w:val="000000"/>
          <w:sz w:val="20"/>
          <w:szCs w:val="20"/>
          <w:u w:val="none" w:color="0000EE"/>
          <w:vertAlign w:val="superscript"/>
          <w:lang w:val="el" w:eastAsia="el"/>
        </w:rPr>
        <w:footnoteReference w:id="9"/>
      </w:r>
    </w:p>
    <w:p>
      <w:pPr>
        <w:pStyle w:val="Heading6"/>
        <w:spacing w:before="240" w:after="240"/>
        <w:rPr>
          <w:lang w:val="el" w:eastAsia="el"/>
        </w:rPr>
      </w:pPr>
      <w:r>
        <w:rPr>
          <w:rStyle w:val="article-num"/>
          <w:b/>
          <w:bCs/>
          <w:lang w:val="el" w:eastAsia="el"/>
        </w:rPr>
        <w:t>Άρθρο 5</w:t>
      </w:r>
    </w:p>
    <w:p>
      <w:pPr>
        <w:spacing w:before="240" w:after="240"/>
        <w:rPr>
          <w:lang w:val="el" w:eastAsia="el"/>
        </w:rPr>
      </w:pPr>
      <w:r>
        <w:rPr>
          <w:lang w:val="el" w:eastAsia="el"/>
        </w:rPr>
        <w:t>α. Με όμοια απόφασή μας δύναται να αναπροσαρμόζεται το ποσό για το ειδικό καθεστώς των επενδύσεων μείζονος μεγέθους έως το προβλεπόμενο στο Γενικό Απαλλακτικό Κανονισμό όριο καθώς και να ανακατανέμονται τα ποσά μεταξύ της επιχορήγησης, της επιδότησης χρηματοδοτικής μίσθωσης και της επιδότησης του κόστους της δημιουργούμενης απασχόλησης και της φορολογικής απαλλαγής.</w:t>
      </w:r>
    </w:p>
    <w:p>
      <w:pPr>
        <w:spacing w:before="240" w:after="240"/>
        <w:rPr>
          <w:lang w:val="el" w:eastAsia="el"/>
        </w:rPr>
      </w:pPr>
      <w:r>
        <w:rPr>
          <w:lang w:val="el" w:eastAsia="el"/>
        </w:rPr>
        <w:t>βi. Η ισχύς της παρούσας απόφασης αρχίζει από την ημερομηνία δημοσίευσής της στην Εφημερίδα της Κυβερνήσεως.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24 Νοεμβρίου 2017</w:t>
      </w:r>
    </w:p>
    <w:p>
      <w:pPr>
        <w:spacing w:before="240" w:after="240"/>
        <w:rPr>
          <w:lang w:val="el" w:eastAsia="el"/>
        </w:rPr>
      </w:pPr>
      <w:r>
        <w:rPr>
          <w:lang w:val="el" w:eastAsia="el"/>
        </w:rPr>
        <w:t xml:space="preserve">Οι Υπουργοί </w:t>
      </w:r>
    </w:p>
    <w:p>
      <w:pPr>
        <w:spacing w:before="240" w:after="240"/>
        <w:rPr>
          <w:lang w:val="el" w:eastAsia="el"/>
        </w:rPr>
      </w:pPr>
      <w:r>
        <w:rPr>
          <w:lang w:val="el" w:eastAsia="el"/>
        </w:rPr>
        <w:t xml:space="preserve">Αναπληρωτής Υπουργός Οικονομίας και Ανάπτυξης </w:t>
      </w:r>
    </w:p>
    <w:p>
      <w:pPr>
        <w:spacing w:before="240" w:after="240"/>
        <w:rPr>
          <w:lang w:val="el" w:eastAsia="el"/>
        </w:rPr>
      </w:pPr>
      <w:r>
        <w:rPr>
          <w:lang w:val="el" w:eastAsia="el"/>
        </w:rPr>
        <w:t>ΑΛΕΞΑΝΔΡΟΣ ΧΑΡΙΤΣΗΣ</w:t>
      </w:r>
    </w:p>
    <w:p>
      <w:pPr>
        <w:spacing w:before="240" w:after="240"/>
        <w:rPr>
          <w:lang w:val="el" w:eastAsia="el"/>
        </w:rPr>
      </w:pPr>
      <w:r>
        <w:rPr>
          <w:lang w:val="el" w:eastAsia="el"/>
        </w:rPr>
        <w:t>Οικονομίας και Ανάπτυξης</w:t>
      </w:r>
    </w:p>
    <w:p>
      <w:pPr>
        <w:spacing w:before="240" w:after="240"/>
        <w:rPr>
          <w:lang w:val="el" w:eastAsia="el"/>
        </w:rPr>
      </w:pPr>
      <w:r>
        <w:rPr>
          <w:lang w:val="el" w:eastAsia="el"/>
        </w:rPr>
        <w:t xml:space="preserve">ΔΗΜΟΣ ΠΑΠΑΔΗΜΗΤΡΙΟΥ </w:t>
      </w:r>
    </w:p>
    <w:p>
      <w:pPr>
        <w:spacing w:before="240" w:after="240"/>
        <w:rPr>
          <w:lang w:val="el" w:eastAsia="el"/>
        </w:rPr>
      </w:pPr>
      <w:r>
        <w:rPr>
          <w:lang w:val="el" w:eastAsia="el"/>
        </w:rPr>
        <w:t>Αναπληρωτής Υπουργός Οικονομικών</w:t>
      </w:r>
    </w:p>
    <w:p>
      <w:pPr>
        <w:spacing w:before="240" w:after="240"/>
        <w:rPr>
          <w:lang w:val="el" w:eastAsia="el"/>
        </w:rPr>
      </w:pPr>
      <w:r>
        <w:rPr>
          <w:lang w:val="el" w:eastAsia="el"/>
        </w:rPr>
        <w:t>ΓΕΩΡΓΙΟΣ ΧΟΥΛΙΑΡΑΚΗΣ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56476/2020 06.06.2020</w:t>
      </w:r>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56476/2020 06.06.2020</w:t>
      </w:r>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56476/2020 06.06.2020</w:t>
      </w:r>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56476/2020 06.06.2020</w:t>
      </w:r>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56476/2020 06.06.2020</w:t>
      </w:r>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56476/2020 06.06.2020</w:t>
      </w:r>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56476/2020 06.06.2020</w:t>
      </w:r>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56476/2020 06.06.2020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