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ΔΕΛ Β 1192636</w:t>
      </w:r>
      <w:r>
        <w:rPr>
          <w:lang w:val="el" w:eastAsia="el"/>
        </w:rPr>
        <w:t xml:space="preserve"> ΕΞ 2017 </w:t>
      </w:r>
    </w:p>
    <w:p>
      <w:pPr>
        <w:spacing w:before="240" w:after="240"/>
        <w:rPr>
          <w:lang w:val="el" w:eastAsia="el"/>
        </w:rPr>
      </w:pPr>
      <w:r>
        <w:rPr>
          <w:b/>
          <w:bCs/>
          <w:lang w:val="el" w:eastAsia="el"/>
        </w:rPr>
        <w:t>Καθορισμός του αριθμού φορολογικών ελέγχων που θα διενεργηθούν κατά το έτος 2018.</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2,7, 13, 14, 17 και 41, όπως ισχύουν.</w:t>
      </w:r>
    </w:p>
    <w:p>
      <w:pPr>
        <w:spacing w:before="240" w:after="240"/>
        <w:rPr>
          <w:lang w:val="el" w:eastAsia="el"/>
        </w:rPr>
      </w:pPr>
      <w:r>
        <w:rPr>
          <w:lang w:val="el" w:eastAsia="el"/>
        </w:rPr>
        <w:t>3. Τη με αριθμ. πρωτ. Δ. ΟΡΓ. Α 1036960 ΕΞ 2017/ 10.03.2017 (Β' 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4. Την με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5. Την με αριθ. πρωτ. ΔΟΡΓ Α 1115805/ΕΞ 2017/ 31.7.2017 (Β’ 2743),«Μεταβίβαση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1. Το έτος 2018 θα διενεργηθούν είκοσι τέσσερις χιλιάδες επτακόσιοι πενήντα (24.750) πλήρεις και μερικοί φορολογικοί έλεγχοι από τις ελεγκτικές Υπηρεσίες ΚΕ.ΜΕ. ΕΠ., ΚΕ.ΦΟ.ΜΕ.Π., και Δ.Ο.Υ.</w:t>
      </w:r>
    </w:p>
    <w:p>
      <w:pPr>
        <w:spacing w:before="240" w:after="240"/>
        <w:rPr>
          <w:lang w:val="el" w:eastAsia="el"/>
        </w:rPr>
      </w:pPr>
      <w:r>
        <w:rPr>
          <w:lang w:val="el" w:eastAsia="el"/>
        </w:rPr>
        <w:t>2. 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