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ΔΕφΚφΔ 11920</w:t>
      </w:r>
      <w:r>
        <w:rPr>
          <w:lang w:val="el" w:eastAsia="el"/>
        </w:rPr>
        <w:t xml:space="preserve">35 ΕΞ 2017 (1) </w:t>
      </w:r>
      <w:r>
        <w:rPr>
          <w:b/>
          <w:bCs/>
          <w:lang w:val="el" w:eastAsia="el"/>
        </w:rPr>
        <w:t>Καθορισμός ποσοστών απομείωσης ανάλογα με την ηλικία και την κατηγορία αμαξώματος των μεταχειρισμένων επιβατικών αυτοκινήτων.</w:t>
      </w:r>
    </w:p>
    <w:p>
      <w:pPr>
        <w:pStyle w:val="Title"/>
        <w:spacing w:before="120" w:after="360"/>
        <w:rPr>
          <w:lang w:val="el" w:eastAsia="el"/>
        </w:rPr>
      </w:pPr>
      <w:r>
        <w:rPr>
          <w:b/>
          <w:bCs/>
          <w:lang w:val="el" w:eastAsia="el"/>
        </w:rPr>
        <w:t>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126 του ν. 2960/2001 (ΦΕΚ 265 Α’) «Εθνικός Τελωνειακός Κώδικας», όπως τροποποιήθηκε και ισχύει.</w:t>
      </w:r>
    </w:p>
    <w:p>
      <w:pPr>
        <w:pStyle w:val="PreambelText"/>
        <w:spacing w:before="240" w:after="240"/>
        <w:rPr>
          <w:lang w:val="el" w:eastAsia="el"/>
        </w:rPr>
      </w:pPr>
      <w:r>
        <w:rPr>
          <w:lang w:val="el" w:eastAsia="el"/>
        </w:rPr>
        <w:t>2. Τις διατάξεις του τρίτου εδαφίου της παραγράφου 1 του άρθρου 126 του ν. 2960/2001, όπως τροποποιήθηκε και ισχύει, με το οποίο εξουσιοδοτείται ο Υπουργός Οικονομικών να καθορίζει τα ποσοστά απομείωσης, ανάλογα με την ηλικία και την κατηγορία αμαξώματος ανά εξάμηνο και έτος των μεταχειρισμένων επιβατικών αυτοκινήτων.</w:t>
      </w:r>
    </w:p>
    <w:p>
      <w:pPr>
        <w:pStyle w:val="PreambelText"/>
        <w:spacing w:before="240" w:after="240"/>
        <w:rPr>
          <w:lang w:val="el" w:eastAsia="el"/>
        </w:rPr>
      </w:pPr>
      <w:r>
        <w:rPr>
          <w:lang w:val="el" w:eastAsia="el"/>
        </w:rPr>
        <w:t>3. Τις διατάξεις του άρθρου 8 της αριθμ. 5032319/ 5080/12-8-2009 (ΦΕΚ 1763 Β’) Α.Υ.Ο., όπως τροποποιήθηκε και ισχύει.</w:t>
      </w:r>
    </w:p>
    <w:p>
      <w:pPr>
        <w:pStyle w:val="PreambelText"/>
        <w:spacing w:before="240" w:after="240"/>
        <w:rPr>
          <w:lang w:val="el" w:eastAsia="el"/>
        </w:rPr>
      </w:pPr>
      <w:r>
        <w:rPr>
          <w:lang w:val="el" w:eastAsia="el"/>
        </w:rPr>
        <w:t>4. Την ανάγκη καθορισμού νέων ποσοστών απομείωσης, ανάλογα με την ηλικία και την κατηγορία αμαξώματος, ανά εξάμηνο και έτος των μεταχειρισμένων επιβατικών αυτοκινήτων, βάσει στοιχείων ταξινομήσεων της τελευταίας τριετίας, για την αντικειμενικότερη διαμόρφωση της φορολογητέας αξίας, για την επιβολή του τέλους ταξινόμησης.</w:t>
      </w:r>
    </w:p>
    <w:p>
      <w:pPr>
        <w:pStyle w:val="PreambelText"/>
        <w:spacing w:before="240" w:after="240"/>
        <w:rPr>
          <w:lang w:val="el" w:eastAsia="el"/>
        </w:rPr>
      </w:pPr>
      <w:r>
        <w:rPr>
          <w:lang w:val="el" w:eastAsia="el"/>
        </w:rPr>
        <w:t>5. Τις διατάξεις της παραγράφου 2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 Α’).</w:t>
      </w:r>
    </w:p>
    <w:p>
      <w:pPr>
        <w:pStyle w:val="PreambelText"/>
        <w:spacing w:before="240" w:after="240"/>
        <w:rPr>
          <w:lang w:val="el" w:eastAsia="el"/>
        </w:rPr>
      </w:pPr>
      <w:r>
        <w:rPr>
          <w:lang w:val="el" w:eastAsia="el"/>
        </w:rPr>
        <w:t>6. Τις διατάξεις του π.δ. 125/2016 «Διορισμός Υπουργών, Αναπληρωτών Υπουργών και Υφυπουργών» (ΦΕΚ 210 Α’).</w:t>
      </w:r>
    </w:p>
    <w:p>
      <w:pPr>
        <w:pStyle w:val="PreambelText"/>
        <w:spacing w:before="240" w:after="240"/>
        <w:rPr>
          <w:lang w:val="el" w:eastAsia="el"/>
        </w:rPr>
      </w:pPr>
      <w:r>
        <w:rPr>
          <w:lang w:val="el" w:eastAsia="el"/>
        </w:rPr>
        <w:t>7. Το π.δ. 111/2014 «Οργανισμός του Υπουργείου Οικονομικών» (ΦΕΚ 178 Α’ και ΦΕΚ 25/2015 Α’ για διόρθωση σφάλματος).</w:t>
      </w:r>
    </w:p>
    <w:p>
      <w:pPr>
        <w:pStyle w:val="PreambelText"/>
        <w:spacing w:before="240" w:after="240"/>
        <w:rPr>
          <w:lang w:val="el" w:eastAsia="el"/>
        </w:rPr>
      </w:pPr>
      <w:r>
        <w:rPr>
          <w:lang w:val="el" w:eastAsia="el"/>
        </w:rPr>
        <w:t>8. Τις διατάξεις του Κεφαλαίου Α’ του ν. 4389/2016 (ΦΕΚ 94 Α7) «Επείγουσες διατάξεις για την εφαρμογή της συμφωνίας δημοσιονομικών στόχων και διαρθρωτικών μεταρρυθμίσεων και άλλες διατάξεις», περί σύστασης της Ανεξάρτητης Αρχής Δημοσίων Εσόδων, ιδίως δε το άρθρο 41 αυτού.</w:t>
      </w:r>
    </w:p>
    <w:p>
      <w:pPr>
        <w:pStyle w:val="PreambelText"/>
        <w:spacing w:before="240" w:after="240"/>
        <w:rPr>
          <w:lang w:val="el" w:eastAsia="el"/>
        </w:rPr>
      </w:pPr>
      <w:r>
        <w:rPr>
          <w:lang w:val="el" w:eastAsia="el"/>
        </w:rPr>
        <w:t>9. Την αριθμ. ΥΠΟΙΚ 0010218 ΕΞ 2016 (ΦΕΚ 3696 Β’) απόφαση του Πρωθυπουργού και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10. Το γεγονός ότι από τις διατάξεις της παρούσας δεν προκύπτει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Ποσοστά απομείωσης</w:t>
      </w:r>
    </w:p>
    <w:p>
      <w:pPr>
        <w:spacing w:before="240" w:after="240"/>
        <w:rPr>
          <w:lang w:val="el" w:eastAsia="el"/>
        </w:rPr>
      </w:pPr>
      <w:r>
        <w:rPr>
          <w:lang w:val="el" w:eastAsia="el"/>
        </w:rPr>
        <w:t>Τα ποσοστά απομείωσης των μεταχειρισμένων επιβατικών αυτοκινήτων, ανάλογα με την ηλικία και την κατηγορία αμαξώματος, ανά εξάμηνο και έτος καθορίζονται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0"/>
        <w:gridCol w:w="819"/>
        <w:gridCol w:w="1575"/>
        <w:gridCol w:w="1233"/>
        <w:gridCol w:w="1378"/>
        <w:gridCol w:w="1814"/>
        <w:gridCol w:w="17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4x4 (SUV - ATV)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ΧΑΤΣΜΠΑΚ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ΣΕΝΤΑΝ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ΚΑΜΠΡΙΟ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ΚΟΥΠΕ ΡΟΟΥΝΤΣΤΕΡ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ΟΧΗΜΑΤΑ ΠΟΛΛΑΠΛΩΝ ΧΡΗΣΕΩΝ (MPV)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r>
    </w:tbl>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ημερομηνία ισχύος της απόφασης αυτής, καταργείται η αριθμ. ΔΕΦΚ Δ 5043421 ΕΞ 2013/20-12-2013 Α.Υ.Ο. (Β’3340).</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απόφασης αυτής αρχίζει δέκα ημέρες από την ημερομηνία δημοσίευσής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Δεκεμβρίου 2017</w:t>
      </w:r>
    </w:p>
    <w:p>
      <w:pPr>
        <w:spacing w:before="240" w:after="240"/>
        <w:rPr>
          <w:lang w:val="el" w:eastAsia="el"/>
        </w:rPr>
      </w:pPr>
      <w:r>
        <w:rPr>
          <w:lang w:val="el" w:eastAsia="el"/>
        </w:rPr>
        <w:t>Η Υφυπουργός</w:t>
      </w:r>
    </w:p>
    <w:p>
      <w:pPr>
        <w:spacing w:before="240" w:after="240"/>
        <w:rPr>
          <w:lang w:val="el" w:eastAsia="el"/>
        </w:rPr>
      </w:pPr>
      <w:r>
        <w:rPr>
          <w:b/>
          <w:bCs/>
          <w:lang w:val="el" w:eastAsia="el"/>
        </w:rPr>
        <w:t>ΑΙΚΑΤΕΡΙΝΗ ΠΑΠΑΝΑΤΣΙΟΥ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