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2976/92</w:t>
      </w:r>
      <w:r>
        <w:rPr>
          <w:b/>
          <w:bCs/>
          <w:lang w:val="el" w:eastAsia="el"/>
        </w:rPr>
        <w:t>Τροποποίηση και συμπλήρωση της αριθμ. οικ. 3669/194/5.4.2011 (ΦΕΚ Β’549) κοινής υπουργικής απόφασης, σχετικά με την ασφάλεια των παιχνιδιών σε συμμόρφωση με τις οδηγίες (ΕΕ), 2017/738 του Συμβουλίου της 27ης Μαρτίου 2017 (ΕΕ LI 10 της 27.4.2017, σελ. 6), 2017/774 της Επιτροπής, της 3ης Μαΐου 2017 (ΕΕ LI 15 της 4.5.2017, σελ. 47) και 2017/898 της Επιτροπής, της 24ης Μαΐου 2017 (EEL138 της 25.5.2017, σελ. 128).</w:t>
      </w:r>
    </w:p>
    <w:p>
      <w:pPr>
        <w:pStyle w:val="Title"/>
        <w:spacing w:before="120" w:after="360"/>
        <w:rPr>
          <w:lang w:val="el" w:eastAsia="el"/>
        </w:rPr>
      </w:pPr>
      <w:r>
        <w:rPr>
          <w:b/>
          <w:bCs/>
          <w:lang w:val="el" w:eastAsia="el"/>
        </w:rPr>
        <w:t>ΟΙ ΥΠΟΥΡΓΟΙ ΕΣΩΤΕΡΙΚΩΝ - ΟΙΚΟΝΟΜΙΑΣ ΚΑΙ ΑΝΑΠΤΥΞΗΣ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 παρ. 1, (περιπτ. η) και παρ. 2 του ν. 1338/1983 «Εφαρμογή του Κοινοτικού Δικαίου» (ΦΕΚ Α’34), όπως αυτές έχουν τροποποιηθεί με το άρθρο 6 παρ. 4 του ν. 1440/1984 (ΦΕΚ Α’70) και του άρθρου 3 του ν. 1338/1983, όπως έχει αντικατασταθεί με το άρθρο 65 του ν. 1892/1990 (ΦΕΚ Α’101).</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(ΦΕΚ Α’98).</w:t>
      </w:r>
    </w:p>
    <w:p>
      <w:pPr>
        <w:pStyle w:val="StructureList1"/>
        <w:spacing w:before="120" w:after="0"/>
        <w:rPr>
          <w:lang w:val="el" w:eastAsia="el"/>
        </w:rPr>
      </w:pPr>
      <w:r>
        <w:rPr>
          <w:lang w:val="el" w:eastAsia="el"/>
        </w:rPr>
        <w:t>γ)</w:t>
      </w:r>
      <w:r>
        <w:rPr>
          <w:lang w:val="en" w:eastAsia="en"/>
        </w:rPr>
        <w:tab/>
      </w:r>
      <w:r>
        <w:rPr>
          <w:lang w:val="el" w:eastAsia="el"/>
        </w:rPr>
        <w:t>Του π.δ. 123/2016 (ΦΕΚ Α’208)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w:t>
      </w:r>
    </w:p>
    <w:p>
      <w:pPr>
        <w:pStyle w:val="StructureList1"/>
        <w:spacing w:before="120" w:after="0"/>
        <w:rPr>
          <w:lang w:val="el" w:eastAsia="el"/>
        </w:rPr>
      </w:pPr>
      <w:r>
        <w:rPr>
          <w:lang w:val="el" w:eastAsia="el"/>
        </w:rPr>
        <w:t>δ)</w:t>
      </w:r>
      <w:r>
        <w:rPr>
          <w:lang w:val="en" w:eastAsia="en"/>
        </w:rPr>
        <w:tab/>
      </w:r>
      <w:r>
        <w:rPr>
          <w:lang w:val="el" w:eastAsia="el"/>
        </w:rPr>
        <w:t>Του π.δ. 125/2016 (ΦΕΚ Α’210) «Διορισμός Υπουργών, Αναπληρωτών Υπουργών και Υφυπουργών».</w:t>
      </w:r>
    </w:p>
    <w:p>
      <w:pPr>
        <w:pStyle w:val="StructureList1"/>
        <w:spacing w:before="120" w:after="0"/>
        <w:rPr>
          <w:lang w:val="el" w:eastAsia="el"/>
        </w:rPr>
      </w:pPr>
      <w:r>
        <w:rPr>
          <w:lang w:val="el" w:eastAsia="el"/>
        </w:rPr>
        <w:t>ε)</w:t>
      </w:r>
      <w:r>
        <w:rPr>
          <w:lang w:val="en" w:eastAsia="en"/>
        </w:rPr>
        <w:tab/>
      </w:r>
      <w:r>
        <w:rPr>
          <w:lang w:val="el" w:eastAsia="el"/>
        </w:rPr>
        <w:t>Την αριθμ. Υ197/16.11.2016 (ΦΕΚ Β’ 3722) απόφαση του Πρωθυπουργού «Ανάθεση αρμοδιοτήτων στον Αναπληρωτή Υπουργό Οικονομίας και Ανάπτυξης, Αλέξανδρο Χαρίτση» όπως τροποποιήθηκε με την αριθμ. Υ 226/27.12.2016 απόφαση του Πρωθυπουργού (ΦΕΚ Β’4233).</w:t>
      </w:r>
    </w:p>
    <w:p>
      <w:pPr>
        <w:pStyle w:val="StructureList1"/>
        <w:spacing w:before="120" w:after="0"/>
        <w:rPr>
          <w:lang w:val="el" w:eastAsia="el"/>
        </w:rPr>
      </w:pPr>
      <w:r>
        <w:rPr>
          <w:lang w:val="el" w:eastAsia="el"/>
        </w:rPr>
        <w:t>στ)</w:t>
      </w:r>
      <w:r>
        <w:rPr>
          <w:lang w:val="en" w:eastAsia="en"/>
        </w:rPr>
        <w:tab/>
      </w:r>
      <w:r>
        <w:rPr>
          <w:lang w:val="el" w:eastAsia="el"/>
        </w:rPr>
        <w:t>Του π.δ. 116/2014 (ΦΕΚ Α’185) «Οργανισμός του Υπουργείου Ανάπτυξης και Ανταγωνιστικότητας».</w:t>
      </w:r>
    </w:p>
    <w:p>
      <w:pPr>
        <w:pStyle w:val="PreambelText"/>
        <w:spacing w:before="240" w:after="240"/>
        <w:rPr>
          <w:lang w:val="el" w:eastAsia="el"/>
        </w:rPr>
      </w:pPr>
      <w:r>
        <w:rPr>
          <w:lang w:val="el" w:eastAsia="el"/>
        </w:rPr>
        <w:t>2. Του άρθρου 186, παράγραφος ΙΙ, περίπτωση Γ, υποπερίπτωση δ αριθ. 30 του ν. 3852/2010 (ΦΕΚ Α’87) «Νέα Αρχιτεκτονική της Αυτοδιοίκησης και της Αποκεντρωμένης Διοίκησης - Πρόγραμμα Καλλικράτης».</w:t>
      </w:r>
    </w:p>
    <w:p>
      <w:pPr>
        <w:pStyle w:val="PreambelText"/>
        <w:spacing w:before="240" w:after="240"/>
        <w:rPr>
          <w:lang w:val="el" w:eastAsia="el"/>
        </w:rPr>
      </w:pPr>
      <w:r>
        <w:rPr>
          <w:lang w:val="el" w:eastAsia="el"/>
        </w:rPr>
        <w:t>3. Του άρθρου 2 του ν. 4328/1929 (ΦΕΚ Α’272)«Περί συστάσεως του Γενικού Χημείου του Κράτους» όπως τροποποιήθηκε από το άρθρο 11 του ν. 2343/1995 (ΦΕΚ Α’211).</w:t>
      </w:r>
    </w:p>
    <w:p>
      <w:pPr>
        <w:pStyle w:val="PreambelText"/>
        <w:spacing w:before="240" w:after="240"/>
        <w:rPr>
          <w:lang w:val="el" w:eastAsia="el"/>
        </w:rPr>
      </w:pPr>
      <w:r>
        <w:rPr>
          <w:lang w:val="el" w:eastAsia="el"/>
        </w:rPr>
        <w:t>4. Της απόφασης του Διοικητή της Ανεξάρτητης Αρχής Δημοσίων Εσόδων υπ’ αριθμ. Δ.ΟΡΓ.Α 1036960 ΕΞ 2017/10.3.2017 (ΦΕΚ Β’968), με θέμα «Οργανισμός της Ανεξάρτητης Αρχής Δημοσίων Εσόδων (Α.Α.Δ.Ε.)».</w:t>
      </w:r>
    </w:p>
    <w:p>
      <w:pPr>
        <w:pStyle w:val="PreambelText"/>
        <w:spacing w:before="240" w:after="240"/>
        <w:rPr>
          <w:lang w:val="el" w:eastAsia="el"/>
        </w:rPr>
      </w:pPr>
      <w:r>
        <w:rPr>
          <w:lang w:val="el" w:eastAsia="el"/>
        </w:rPr>
        <w:t>5. Του άρθρου 41, παρ. 2, στοιχείο β', υποστοιχείο αα' του ν. 4389/2016 (ΦΕΚ Α’ 94) «Επείγουσες διατάξεις για την εφαρμογή της συμφωνίας δημοσιονομικών στόχων και διαρθρωτικών μεταρρυθμίσεων και άλλες διατάξεις.»</w:t>
      </w:r>
    </w:p>
    <w:p>
      <w:pPr>
        <w:pStyle w:val="PreambelText"/>
        <w:spacing w:before="240" w:after="240"/>
        <w:rPr>
          <w:lang w:val="el" w:eastAsia="el"/>
        </w:rPr>
      </w:pPr>
      <w:r>
        <w:rPr>
          <w:lang w:val="el" w:eastAsia="el"/>
        </w:rPr>
        <w:t>6. Την αριθμ. ΥΠΟΙΚ 00102018 ΕΞ 2016 (ΦΕΚ Β’ 3696) απόφαση του Πρωθυπουργού και του Υπουργού Οικονομικών «Ανάθεση αρμοδιοτήτων στην Υφυπουργό Οικονομικών, Αικατερίνη Παπανάτσιου».</w:t>
      </w:r>
    </w:p>
    <w:p>
      <w:pPr>
        <w:pStyle w:val="PreambelText"/>
        <w:spacing w:before="240" w:after="240"/>
        <w:rPr>
          <w:lang w:val="el" w:eastAsia="el"/>
        </w:rPr>
      </w:pPr>
      <w:r>
        <w:rPr>
          <w:lang w:val="el" w:eastAsia="el"/>
        </w:rPr>
        <w:t>7. Του Ε’ κεφαλαίου του ν. 4072/2012(ΦΕΚ Α’86) «Εποπτεία αγοράς βιομηχανικών προϊόντων και υπηρεσιών ποιότητας» - «Βελτίωση επιχειρηματικού περιβάλλοντος- Νέα εταιρική μορφή - Σήματα - Μεσίτες ακινήτων - Ρύθμιση θεμάτων ναυτιλίας, λιμένων και αλιείας και άλλες διατάξεις»</w:t>
      </w:r>
    </w:p>
    <w:p>
      <w:pPr>
        <w:pStyle w:val="PreambelText"/>
        <w:spacing w:before="240" w:after="240"/>
        <w:rPr>
          <w:lang w:val="el" w:eastAsia="el"/>
        </w:rPr>
      </w:pPr>
      <w:r>
        <w:rPr>
          <w:lang w:val="el" w:eastAsia="el"/>
        </w:rPr>
        <w:t>Την αριθμ. οικ. 3669/194/5.4.2011(ΦΕΚ Β’549) κοινή υπουργική απόφαση των Υπουργών Εσωτερικών, Αποκέντρωσης και Ηλεκτρονικής Διακυβέρνησης-Οικονομικών- Οικονομίας, Ανταγωνιστικότητας και Ναυτιλίας- Εργασίας και Κοινωνικής Ασφάλισης «Προσαρμογή της Ελληνικής Νομοθεσίας στην οδηγία 2009/48/ΕΚ Ευρωπαϊκού Κοινοβουλίου και του Συμβουλίου, σχετικά με την ασφάλεια των παιχνιδιών», όπως τροποποιήθηκε και ισχύει.</w:t>
      </w:r>
    </w:p>
    <w:p>
      <w:pPr>
        <w:pStyle w:val="PreambelText"/>
        <w:spacing w:before="240" w:after="240"/>
        <w:rPr>
          <w:lang w:val="el" w:eastAsia="el"/>
        </w:rPr>
      </w:pPr>
      <w:r>
        <w:rPr>
          <w:lang w:val="el" w:eastAsia="el"/>
        </w:rPr>
        <w:t>9. Την οδηγία (ΕΕ) 2017/738 του Συμβουλίου της 27ης Μαρτίου 2017, (ΕΕ LI 10 της 27.4.2017, σελ. 6) για την τροποποίηση, με σκοπό την προσαρμογή στην τεχνική πρόοδο του παραρτήματος ΙΙ, της οδηγίας 2009/48/ ΕΚ του Ευρωπαϊκού Κοινοβουλίου και του Συμβουλίου σχετικά με την ασφάλεια των παιχνιδιών, όσον αφορά τον μόλυβδο.</w:t>
      </w:r>
    </w:p>
    <w:p>
      <w:pPr>
        <w:pStyle w:val="PreambelText"/>
        <w:spacing w:before="240" w:after="240"/>
        <w:rPr>
          <w:lang w:val="el" w:eastAsia="el"/>
        </w:rPr>
      </w:pPr>
      <w:r>
        <w:rPr>
          <w:lang w:val="el" w:eastAsia="el"/>
        </w:rPr>
        <w:t>10. Την οδηγία (ΕΕ) 2017/774 της Επιτροπής της 3ης Μαΐου 2017, (ΕΕ LI 15 της 4.5.2017, σελ. 47) για την τροποποίηση, με σκοπό την έγκριση ειδικών οριακών τιμών για τις χημικές ουσίες που χρησιμοποιούνται στα παιχνίδια,του προσαρτήματος Γ του παραρτήματος II της οδηγίας 2009/48/ΕΚ της Επιτροπής σχετικά με την ασφάλεια των παιχνιδιών, όσον αφορά την ουσία φαινόλη.</w:t>
      </w:r>
    </w:p>
    <w:p>
      <w:pPr>
        <w:pStyle w:val="PreambelText"/>
        <w:spacing w:before="240" w:after="240"/>
        <w:rPr>
          <w:lang w:val="el" w:eastAsia="el"/>
        </w:rPr>
      </w:pPr>
      <w:r>
        <w:rPr>
          <w:lang w:val="el" w:eastAsia="el"/>
        </w:rPr>
        <w:t>11. Την οδηγία (ΕΕ) 2017/898 της Επιτροπής της 24ης Μαΐου 2017, (ΕΕ L138 της 25.5. 2017, σελ. 128) για την τροποποίηση, με σκοπό την έγκριση ειδικών οριακών τιμών για τις χημικές ουσίες που χρησιμοποιούνται στα παιχνίδια, του προσαρτήματος Γ του παραρτήματος II της οδηγίας 2009/48/ΕΚ του Ευρωπαϊκού Κοινοβουλίου και του Συμβουλίου σχετικά με την ασφάλεια των παιχνιδιών, όσον αφορά την ουσία δισφαινόλη Α.</w:t>
      </w:r>
    </w:p>
    <w:p>
      <w:pPr>
        <w:pStyle w:val="PreambelText"/>
        <w:spacing w:before="240" w:after="240"/>
        <w:rPr>
          <w:lang w:val="el" w:eastAsia="el"/>
        </w:rPr>
      </w:pPr>
      <w:r>
        <w:rPr>
          <w:lang w:val="el" w:eastAsia="el"/>
        </w:rPr>
        <w:t>12. Το γεγονός ότι από τις διατάξεις της παρούσας απόφασης δεν προκαλείται δαπάνη εις βάρος του κρατικού προϋπολογισμού.</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Η παρούσα απόφαση εναρμονίζει την αριθμ. οικ. 3669/194/5.4.2011 (ΦΕΚ Β’549) κοινή υπουργική απόφαση των Υπουργών Εσωτερικών, Αποκέντρωσης και Ηλεκτρονικής Διακυβέρνησης - Οικονομικών - Οικονομίας, Ανταγωνιστικότητας και Ναυτιλίας - Εργασίας και Κοινωνικής Ασφάλισης σχετικά με την ασφάλεια των παιχνιδιών, όπως τροποποιήθηκε και ισχύει, προς τις οδηγίες (ΕΕ), 2017/738 του Συμβουλίου της 27ης Μαρτίου 2017 (ΕΕ LI 10 της 27.4.2017, σελ. 6), 2017/774 της Επιτροπής, της 3ης Μαΐου 2017 (ΕΕ LI 15 της 4.5.2017, σελ. 47) και 2017/898 της Επιτροπής, της 24ης Μαΐου 2017 (ΕΕ L138 της 25.5.2017, σελ. 128), οι οποίες τροποποιούν το παράρτημα II της οδηγίας 2009/48/ΕΚ του Ευρωπαϊκού Κοινοβουλίου και του Συμβουλίου με σκοπό την προσαρμογή στην τεχνική πρόοδο και την έγκριση ειδικών οριακών τιμών για τις χημικές ουσίες που χρησιμοποιούνται στα παιχνίδια.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Τροποποίηση</w:t>
      </w:r>
    </w:p>
    <w:p>
      <w:pPr>
        <w:spacing w:before="240" w:after="240"/>
        <w:rPr>
          <w:lang w:val="el" w:eastAsia="el"/>
        </w:rPr>
      </w:pPr>
      <w:r>
        <w:rPr>
          <w:lang w:val="el" w:eastAsia="el"/>
        </w:rPr>
        <w:t>Η αριθμ. οικ. 3669/194/5.4.2011 (ΦΕΚ Β’549) κοινή υπουργική απόφαση όπως τροποποιήθηκε και ισχύει, τροποποιείται ως εξής:</w:t>
      </w:r>
    </w:p>
    <w:p>
      <w:pPr>
        <w:pStyle w:val="MainText"/>
        <w:spacing w:before="120" w:after="0"/>
        <w:rPr>
          <w:lang w:val="el" w:eastAsia="el"/>
        </w:rPr>
      </w:pPr>
      <w:r>
        <w:rPr>
          <w:b/>
          <w:bCs/>
          <w:lang w:val="el" w:eastAsia="el"/>
        </w:rPr>
        <w:t>1.</w:t>
      </w:r>
      <w:r>
        <w:rPr>
          <w:lang w:val="el" w:eastAsia="el"/>
        </w:rPr>
        <w:t xml:space="preserve"> Στον πίνακα της παραγράφου 13, του μέρους III, του παραρτήματος II της κοινής υπουργικής απόφασης, η καταχώριση για τον μόλυβδο αντικαθίσταται από το ακόλουθο κείμενο: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88"/>
        <w:gridCol w:w="669"/>
        <w:gridCol w:w="669"/>
        <w:gridCol w:w="7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«Μόλυβδος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bl>
    <w:p>
      <w:pPr>
        <w:pStyle w:val="MainText"/>
        <w:spacing w:before="120" w:after="0"/>
        <w:rPr>
          <w:lang w:val="el" w:eastAsia="el"/>
        </w:rPr>
      </w:pPr>
      <w:r>
        <w:rPr>
          <w:b/>
          <w:bCs/>
          <w:lang w:val="el" w:eastAsia="el"/>
        </w:rPr>
        <w:t>2.</w:t>
      </w:r>
      <w:r>
        <w:rPr>
          <w:lang w:val="el" w:eastAsia="el"/>
        </w:rPr>
        <w:t xml:space="preserve"> Στο προσάρτημα Γ του παραρτήματος II της κοινής υπουργικής απόφασης προστίθεται η ακόλουθη εγγραφή: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915"/>
        <w:gridCol w:w="69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CAS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Οριακή τιμή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«Φαινόλη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 mg/1 (όριο μετανάστευσης) στα πολυμερή υλικά σύμφωνα με τις μεθόδους που ορίζονται στα πρότυπα ΕΝ 71-10:2005 και ΕΝ 7111:2005.</w:t>
            </w:r>
          </w:p>
          <w:p>
            <w:pPr>
              <w:spacing w:before="240"/>
              <w:rPr>
                <w:b w:val="0"/>
                <w:bCs w:val="0"/>
                <w:i w:val="0"/>
                <w:iCs w:val="0"/>
                <w:smallCaps w:val="0"/>
                <w:color w:val="000000"/>
                <w:lang w:val="el" w:eastAsia="el"/>
              </w:rPr>
            </w:pPr>
            <w:r>
              <w:rPr>
                <w:b w:val="0"/>
                <w:bCs w:val="0"/>
                <w:i w:val="0"/>
                <w:iCs w:val="0"/>
                <w:smallCaps w:val="0"/>
                <w:color w:val="000000"/>
                <w:lang w:val="el" w:eastAsia="el"/>
              </w:rPr>
              <w:t>10 mg/kg (όριο περιεκτικότητας) ως συντηρητικό σύμφωνα με τις μεθόδους που καθορίζονται στα πρότυπα ΕΝ 71-10:2005 και ΕΝ 71- 11:2005.»</w:t>
            </w:r>
          </w:p>
        </w:tc>
      </w:tr>
    </w:tbl>
    <w:p>
      <w:pPr>
        <w:pStyle w:val="MainText"/>
        <w:spacing w:before="120" w:after="0"/>
        <w:rPr>
          <w:lang w:val="el" w:eastAsia="el"/>
        </w:rPr>
      </w:pPr>
      <w:r>
        <w:rPr>
          <w:b/>
          <w:bCs/>
          <w:lang w:val="el" w:eastAsia="el"/>
        </w:rPr>
        <w:t>3.</w:t>
      </w:r>
      <w:r>
        <w:rPr>
          <w:lang w:val="el" w:eastAsia="el"/>
        </w:rPr>
        <w:t xml:space="preserve"> Στο προσάρτημα Γ του παραρτήματος II της κοινής υπουργικής απόφασης, στον πίνακα, η καταχώριση για τη δισφαινόλη Α αντικαθίσταται από το ακόλουθο κείμενο: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5"/>
        <w:gridCol w:w="591"/>
        <w:gridCol w:w="68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«Δισφαινόλη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0,04 mg/1 (όριο μετανάστευσης) σύμφωνα με τις μεθόδους που ορίζονται στα πρότυπα ΕΝ 71-10:2005 και ΕΝ 71- 11:2005.».</w:t>
            </w:r>
          </w:p>
        </w:tc>
      </w:tr>
    </w:tbl>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Οι διατάξεις της παρούσας απόφασης ισχύουν από την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εφαρμογή των διατάξεων των παραγράφων 1, 2 και 3 του άρθρου 2 της παρούσας απόφασης αρχίζει από τις 28 Οκτωβρίου 2018, 4 Νοεμβρίου 2018 και 26 Νοεμβρίου 2018, αντίστοιχα.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Ιανουαρίου 2018</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Οικονομίας</w:t>
      </w:r>
    </w:p>
    <w:p>
      <w:pPr>
        <w:spacing w:before="240" w:after="240"/>
        <w:rPr>
          <w:lang w:val="el" w:eastAsia="el"/>
        </w:rPr>
      </w:pPr>
      <w:r>
        <w:rPr>
          <w:lang w:val="el" w:eastAsia="el"/>
        </w:rPr>
        <w:t>Εσωτερικών και Ανάπτυξης</w:t>
      </w:r>
    </w:p>
    <w:p>
      <w:pPr>
        <w:spacing w:before="240" w:after="240"/>
        <w:rPr>
          <w:lang w:val="el" w:eastAsia="el"/>
        </w:rPr>
      </w:pPr>
      <w:r>
        <w:rPr>
          <w:b/>
          <w:bCs/>
          <w:lang w:val="el" w:eastAsia="el"/>
        </w:rPr>
        <w:t>ΠΑΝΑΓΙΩΤΗΣ ΣΚΟΥΡΛΕΤΗΣ ΔΗΜΟΣ ΠΑΠΑΔΗΜΗΤΡΙΟΥ</w:t>
      </w:r>
    </w:p>
    <w:p>
      <w:pPr>
        <w:spacing w:before="240" w:after="240"/>
        <w:rPr>
          <w:lang w:val="el" w:eastAsia="el"/>
        </w:rPr>
      </w:pPr>
      <w:r>
        <w:rPr>
          <w:lang w:val="el" w:eastAsia="el"/>
        </w:rPr>
        <w:t>Αναπληρωτής Υπουργός Οικονομίας</w:t>
      </w:r>
    </w:p>
    <w:p>
      <w:pPr>
        <w:spacing w:before="240" w:after="240"/>
        <w:rPr>
          <w:lang w:val="el" w:eastAsia="el"/>
        </w:rPr>
      </w:pPr>
      <w:r>
        <w:rPr>
          <w:lang w:val="el" w:eastAsia="el"/>
        </w:rPr>
        <w:t>και Ανάπτυξης</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b/>
          <w:bCs/>
          <w:lang w:val="el" w:eastAsia="el"/>
        </w:rPr>
        <w:t>ΑΛΕΞΑΝΔΡΟΣ ΧΑΡΙΤΣΗΣ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