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7ΣΒΛ46ΜΠ3Ζ-6ΩΥ</w:t>
      </w:r>
    </w:p>
    <w:p>
      <w:pPr>
        <w:spacing w:before="240" w:after="240"/>
        <w:rPr>
          <w:lang w:val="el" w:eastAsia="el"/>
        </w:rPr>
      </w:pPr>
      <w:r>
        <w:rPr>
          <w:b/>
          <w:bCs/>
          <w:lang w:val="el" w:eastAsia="el"/>
        </w:rPr>
        <w:t>Αριθ. ΦΕΚ: 1324 Β’/18.4.2018</w:t>
      </w:r>
    </w:p>
    <w:p>
      <w:pPr>
        <w:spacing w:before="240" w:after="240"/>
        <w:rPr>
          <w:lang w:val="el" w:eastAsia="el"/>
        </w:rPr>
      </w:pPr>
      <w:r>
        <w:rPr>
          <w:b/>
          <w:bCs/>
          <w:lang w:val="el" w:eastAsia="el"/>
        </w:rPr>
        <w:t>Αθήνα, 2/4/2018</w:t>
      </w:r>
    </w:p>
    <w:p>
      <w:pPr>
        <w:spacing w:before="240" w:after="240"/>
        <w:rPr>
          <w:lang w:val="el" w:eastAsia="el"/>
        </w:rPr>
      </w:pPr>
      <w:r>
        <w:rPr>
          <w:b/>
          <w:bCs/>
          <w:lang w:val="el" w:eastAsia="el"/>
        </w:rPr>
        <w:t>ΠΟΛ. 1065</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προστέθηκαν με την παράγραφο 5 του άρθρου 42 του Ν. 4223/2013 (287 Α΄),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Την απόφαση του Γενικού Γραμματέα Δημοσίων Εσόδων ΠΟΛ. 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3/3/30.11.2017(ΥΟΔΔ 68</w:t>
      </w:r>
      <w:r>
        <w:rPr>
          <w:sz w:val="30"/>
          <w:szCs w:val="30"/>
          <w:vertAlign w:val="superscript"/>
          <w:lang w:val="el" w:eastAsia="el"/>
        </w:rPr>
        <w:t>α</w:t>
      </w:r>
      <w:r>
        <w:rPr>
          <w:lang w:val="el" w:eastAsia="el"/>
        </w:rPr>
        <w:t>)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διενέργειας διασταυρωτικών ελέγχων, για την πάταξη της φοροδιαφυγής.</w:t>
      </w:r>
    </w:p>
    <w:p>
      <w:pPr>
        <w:spacing w:before="240" w:after="240"/>
        <w:rPr>
          <w:lang w:val="el" w:eastAsia="el"/>
        </w:rPr>
      </w:pPr>
      <w:r>
        <w:rPr>
          <w:lang w:val="el" w:eastAsia="el"/>
        </w:rPr>
        <w:t>5.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2017, δεδομένων των τεχνικών προβλημάτων που εμφανίστηκαν τις τελευταίες 3 ημέρες στη σχετική εφαρμογή.</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Στο τέλος της παραγράφου 1 του άρθρου 4 προστίθεται εδάφιο ως εξής: « Για το ημερολογιακό έτος 2017, η υποβολή των καταστάσεων των ως άνω περιπτώσεων θεωρείται εμπρόθεσμη μέχρι και την 5/4/2018.</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4"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Περιοδικό Φορολογική Επιθεώρηση (Πίνακας Ζ’)</w:t>
      </w:r>
    </w:p>
    <w:p>
      <w:pPr>
        <w:spacing w:before="240" w:after="240"/>
        <w:rPr>
          <w:lang w:val="el" w:eastAsia="el"/>
        </w:rPr>
      </w:pPr>
      <w:r>
        <w:rPr>
          <w:lang w:val="el" w:eastAsia="el"/>
        </w:rPr>
        <w:t>7.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Δ/ντων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