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1. 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ΑΔΑ:69Γ146ΜΠ3Ζ-5ΘΡ</w:t>
      </w:r>
    </w:p>
    <w:p>
      <w:pPr>
        <w:spacing w:before="240" w:after="240"/>
        <w:rPr>
          <w:lang w:val="el" w:eastAsia="el"/>
        </w:rPr>
      </w:pPr>
      <w:r>
        <w:rPr>
          <w:b/>
          <w:bCs/>
          <w:lang w:val="el" w:eastAsia="el"/>
        </w:rPr>
        <w:t>Αριθ. ΦΕΚ:2105 Β΄/08/06/2018 -</w:t>
      </w:r>
    </w:p>
    <w:p>
      <w:pPr>
        <w:spacing w:before="240" w:after="240"/>
        <w:rPr>
          <w:lang w:val="el" w:eastAsia="el"/>
        </w:rPr>
      </w:pPr>
      <w:r>
        <w:rPr>
          <w:b/>
          <w:bCs/>
          <w:lang w:val="el" w:eastAsia="el"/>
        </w:rPr>
        <w:t>00:00</w:t>
      </w:r>
    </w:p>
    <w:p>
      <w:pPr>
        <w:spacing w:before="240" w:after="240"/>
        <w:rPr>
          <w:lang w:val="el" w:eastAsia="el"/>
        </w:rPr>
      </w:pPr>
      <w:r>
        <w:rPr>
          <w:b/>
          <w:bCs/>
          <w:lang w:val="el" w:eastAsia="el"/>
        </w:rPr>
        <w:t>Αθήνα, 31 Μαΐου 2018</w:t>
      </w:r>
    </w:p>
    <w:p>
      <w:pPr>
        <w:spacing w:before="240" w:after="240"/>
        <w:rPr>
          <w:lang w:val="el" w:eastAsia="el"/>
        </w:rPr>
      </w:pPr>
      <w:r>
        <w:rPr>
          <w:b/>
          <w:bCs/>
          <w:lang w:val="el" w:eastAsia="el"/>
        </w:rPr>
        <w:t>ΠΟΛ. 1104</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Α. Λουγκάνη</w:t>
      </w:r>
    </w:p>
    <w:p>
      <w:pPr>
        <w:spacing w:before="240" w:after="240"/>
        <w:rPr>
          <w:lang w:val="el" w:eastAsia="el"/>
        </w:rPr>
      </w:pPr>
      <w:r>
        <w:rPr>
          <w:lang w:val="el" w:eastAsia="el"/>
        </w:rPr>
        <w:t>210 3610065, 210 3610030</w:t>
      </w:r>
    </w:p>
    <w:p>
      <w:pPr>
        <w:spacing w:before="240" w:after="240"/>
        <w:rPr>
          <w:lang w:val="el" w:eastAsia="el"/>
        </w:rPr>
      </w:pPr>
      <w:r>
        <w:rPr>
          <w:lang w:val="el" w:eastAsia="el"/>
        </w:rPr>
        <w:t>210 3615052</w:t>
      </w:r>
    </w:p>
    <w:p>
      <w:pPr>
        <w:spacing w:before="240" w:after="240"/>
        <w:rPr>
          <w:lang w:val="el" w:eastAsia="el"/>
        </w:rPr>
      </w:pPr>
      <w:hyperlink r:id="rId4" w:history="1">
        <w:r>
          <w:rPr>
            <w:rStyle w:val="Hyperlink"/>
            <w:color w:val="0000EE"/>
            <w:u w:color="0000EE"/>
            <w:lang w:val="el" w:eastAsia="el"/>
          </w:rPr>
          <w:t>d.eleg7@mofadm.gr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lang w:val="el" w:eastAsia="el"/>
        </w:rPr>
        <w:t>ΠΡΟΣ Ως Π.Δ.</w:t>
      </w:r>
    </w:p>
    <w:p>
      <w:pPr>
        <w:spacing w:before="240" w:after="240"/>
        <w:rPr>
          <w:lang w:val="el" w:eastAsia="el"/>
        </w:rPr>
      </w:pPr>
      <w:r>
        <w:rPr>
          <w:b/>
          <w:bCs/>
          <w:lang w:val="el" w:eastAsia="el"/>
        </w:rPr>
        <w:t>2. ΓΕΝΙΚΗ ΔΙΕΥΘΥΝΣΗ ΗΛΕΚΤΡΟΝΙΚΗΣ</w:t>
      </w:r>
    </w:p>
    <w:p>
      <w:pPr>
        <w:spacing w:before="240" w:after="240"/>
        <w:rPr>
          <w:lang w:val="el" w:eastAsia="el"/>
        </w:rPr>
      </w:pPr>
      <w:r>
        <w:rPr>
          <w:b/>
          <w:bCs/>
          <w:lang w:val="el" w:eastAsia="el"/>
        </w:rPr>
        <w:t>ΔΙΑΚΥΒΕΡΝΗΣΗΣ &amp;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ΔΙΕΥΘΥΝΣΗ ΥΠΟΣΤΗΡΙΞΗΣ ΗΛΕΚΤΡΟΝΙΚΩΝ</w:t>
      </w:r>
    </w:p>
    <w:p>
      <w:pPr>
        <w:spacing w:before="240" w:after="240"/>
        <w:rPr>
          <w:lang w:val="el" w:eastAsia="el"/>
        </w:rPr>
      </w:pPr>
      <w:r>
        <w:rPr>
          <w:b/>
          <w:bCs/>
          <w:lang w:val="el" w:eastAsia="el"/>
        </w:rPr>
        <w:t>ΥΠΗΡΕΣΙΩΝ</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ΣΥΣΤΗΜΑΤΩΝ ΔΙΑΣΦΑΛΙΣΗΣ</w:t>
      </w:r>
    </w:p>
    <w:p>
      <w:pPr>
        <w:spacing w:before="240" w:after="240"/>
        <w:rPr>
          <w:lang w:val="el" w:eastAsia="el"/>
        </w:rPr>
      </w:pPr>
      <w:r>
        <w:rPr>
          <w:b/>
          <w:bCs/>
          <w:lang w:val="el" w:eastAsia="el"/>
        </w:rPr>
        <w:t>ΗΛΕΚΤΡΟΝΙΚΩΝ ΕΜΠΟΡΙΚΩΝ ΣΥΝΑΛΛΑΓΩΝ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45"/>
        <w:gridCol w:w="3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Ταχ. Δ/νση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 Κώδικας Πληροφορίες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Τηλέφωνο</w:t>
            </w:r>
          </w:p>
          <w:p>
            <w:pPr>
              <w:spacing w:before="240" w:after="240"/>
              <w:rPr>
                <w:b w:val="0"/>
                <w:bCs w:val="0"/>
                <w:i w:val="0"/>
                <w:iCs w:val="0"/>
                <w:smallCaps w:val="0"/>
                <w:color w:val="000000"/>
                <w:lang w:val="el" w:eastAsia="el"/>
              </w:rPr>
            </w:pPr>
            <w:r>
              <w:rPr>
                <w:b w:val="0"/>
                <w:bCs w:val="0"/>
                <w:i w:val="0"/>
                <w:iCs w:val="0"/>
                <w:smallCaps w:val="0"/>
                <w:color w:val="000000"/>
                <w:lang w:val="el" w:eastAsia="el"/>
              </w:rPr>
              <w:t>Fax</w:t>
            </w:r>
          </w:p>
          <w:p>
            <w:pPr>
              <w:spacing w:before="240" w:after="240"/>
              <w:rPr>
                <w:b w:val="0"/>
                <w:bCs w:val="0"/>
                <w:i w:val="0"/>
                <w:iCs w:val="0"/>
                <w:smallCaps w:val="0"/>
                <w:color w:val="000000"/>
                <w:lang w:val="el" w:eastAsia="el"/>
              </w:rPr>
            </w:pPr>
            <w:r>
              <w:rPr>
                <w:b w:val="0"/>
                <w:bCs w:val="0"/>
                <w:i w:val="0"/>
                <w:iCs w:val="0"/>
                <w:smallCaps w:val="0"/>
                <w:color w:val="000000"/>
                <w:lang w:val="el" w:eastAsia="el"/>
              </w:rPr>
              <w:t>E-Mail</w:t>
            </w:r>
          </w:p>
          <w:p>
            <w:pPr>
              <w:spacing w:before="240"/>
              <w:rPr>
                <w:b w:val="0"/>
                <w:bCs w:val="0"/>
                <w:i w:val="0"/>
                <w:iCs w:val="0"/>
                <w:smallCaps w:val="0"/>
                <w:color w:val="000000"/>
                <w:lang w:val="el" w:eastAsia="el"/>
              </w:rPr>
            </w:pPr>
            <w:r>
              <w:rPr>
                <w:b w:val="0"/>
                <w:bCs w:val="0"/>
                <w:i w:val="0"/>
                <w:iCs w:val="0"/>
                <w:smallCaps w:val="0"/>
                <w:color w:val="000000"/>
                <w:lang w:val="el" w:eastAsia="el"/>
              </w:rPr>
              <w:t>Url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Θεσ/κης &amp; Χανδρή 1</w:t>
            </w:r>
          </w:p>
          <w:p>
            <w:pPr>
              <w:spacing w:before="240" w:after="240"/>
              <w:rPr>
                <w:b w:val="0"/>
                <w:bCs w:val="0"/>
                <w:i w:val="0"/>
                <w:iCs w:val="0"/>
                <w:smallCaps w:val="0"/>
                <w:color w:val="000000"/>
                <w:lang w:val="el" w:eastAsia="el"/>
              </w:rPr>
            </w:pPr>
            <w:r>
              <w:rPr>
                <w:b w:val="0"/>
                <w:bCs w:val="0"/>
                <w:i w:val="0"/>
                <w:iCs w:val="0"/>
                <w:smallCaps w:val="0"/>
                <w:color w:val="000000"/>
                <w:lang w:val="el" w:eastAsia="el"/>
              </w:rPr>
              <w:t>: 18346 Μοσχάτο</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Α.Κομπολίτου, Π. Μαυρίδης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2104802282, 2104802086</w:t>
            </w:r>
          </w:p>
          <w:p>
            <w:pPr>
              <w:spacing w:before="240" w:after="240"/>
              <w:rPr>
                <w:b w:val="0"/>
                <w:bCs w:val="0"/>
                <w:i w:val="0"/>
                <w:iCs w:val="0"/>
                <w:smallCaps w:val="0"/>
                <w:color w:val="000000"/>
                <w:lang w:val="el" w:eastAsia="el"/>
              </w:rPr>
            </w:pPr>
            <w:r>
              <w:rPr>
                <w:b w:val="0"/>
                <w:bCs w:val="0"/>
                <w:i w:val="0"/>
                <w:iCs w:val="0"/>
                <w:smallCaps w:val="0"/>
                <w:color w:val="000000"/>
                <w:lang w:val="el" w:eastAsia="el"/>
              </w:rPr>
              <w:t>: 2104802349</w:t>
            </w:r>
          </w:p>
          <w:p>
            <w:pPr>
              <w:spacing w:before="240" w:after="240"/>
              <w:rPr>
                <w:b w:val="0"/>
                <w:bCs w:val="0"/>
                <w:i w:val="0"/>
                <w:iCs w:val="0"/>
                <w:smallCaps w:val="0"/>
                <w:color w:val="000000"/>
                <w:lang w:val="el" w:eastAsia="el"/>
              </w:rPr>
            </w:pPr>
            <w:r>
              <w:rPr>
                <w:b w:val="0"/>
                <w:bCs w:val="0"/>
                <w:i w:val="0"/>
                <w:iCs w:val="0"/>
                <w:smallCaps w:val="0"/>
                <w:color w:val="000000"/>
                <w:lang w:val="el" w:eastAsia="el"/>
              </w:rPr>
              <w:t>:</w:t>
            </w:r>
            <w:hyperlink r:id="rId6" w:history="1">
              <w:r>
                <w:rPr>
                  <w:rStyle w:val="Hyperlink"/>
                  <w:b w:val="0"/>
                  <w:bCs w:val="0"/>
                  <w:i w:val="0"/>
                  <w:iCs w:val="0"/>
                  <w:smallCaps w:val="0"/>
                  <w:color w:val="0000EE"/>
                  <w:u w:color="0000EE"/>
                  <w:lang w:val="el" w:eastAsia="el"/>
                </w:rPr>
                <w:t>secre_dyphly@gsis.gr</w:t>
              </w:r>
            </w:hyperlink>
          </w:p>
          <w:p>
            <w:pPr>
              <w:spacing w:before="240"/>
              <w:rPr>
                <w:b w:val="0"/>
                <w:bCs w:val="0"/>
                <w:i w:val="0"/>
                <w:iCs w:val="0"/>
                <w:smallCaps w:val="0"/>
                <w:color w:val="000000"/>
                <w:lang w:val="el" w:eastAsia="el"/>
              </w:rPr>
            </w:pPr>
            <w:r>
              <w:rPr>
                <w:b w:val="0"/>
                <w:bCs w:val="0"/>
                <w:i w:val="0"/>
                <w:iCs w:val="0"/>
                <w:smallCaps w:val="0"/>
                <w:color w:val="000000"/>
                <w:lang w:val="el" w:eastAsia="el"/>
              </w:rPr>
              <w:t>:</w:t>
            </w:r>
            <w:hyperlink r:id="rId7" w:history="1">
              <w:r>
                <w:rPr>
                  <w:rStyle w:val="Hyperlink"/>
                  <w:b w:val="0"/>
                  <w:bCs w:val="0"/>
                  <w:i w:val="0"/>
                  <w:iCs w:val="0"/>
                  <w:smallCaps w:val="0"/>
                  <w:color w:val="0000EE"/>
                  <w:u w:color="0000EE"/>
                  <w:lang w:val="el" w:eastAsia="el"/>
                </w:rPr>
                <w:t>www.aade.gr</w:t>
              </w:r>
            </w:hyperlink>
          </w:p>
        </w:tc>
      </w:tr>
    </w:tbl>
    <w:p>
      <w:pPr>
        <w:spacing w:before="240" w:after="240"/>
        <w:rPr>
          <w:lang w:val="el" w:eastAsia="el"/>
        </w:rPr>
      </w:pPr>
      <w:r>
        <w:rPr>
          <w:b/>
          <w:bCs/>
          <w:lang w:val="el" w:eastAsia="el"/>
        </w:rPr>
        <w:t>Θέμα: Τροποποίηση της απόφασης Διοικητή της Α.Α.Δ.Ε. ΠΟΛ.1196/2017 (ΦΕΚ 4486 Β΄) «Απόσυρση από την χρήση μοντέλων ΦΗΜ που έλαβαν άδεια καταλληλότητας με βάση την ΑΥΟ Σ.1659/104/1988 (ΦΕΚ 497 Β΄) και ΑΥΟ ΠΟΛ.1314/1998 (ΦΕΚ 1338 Β΄)».</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b/>
          <w:bCs/>
          <w:lang w:val="el" w:eastAsia="el"/>
        </w:rPr>
        <w:t xml:space="preserve">1.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των άρθρων 12 και 40 του ν. 4308/2014 (Α΄ 251) «Ελληνικά Λογιστικά Πρότυπα, Συναφείς Ρυθμίσεις και Άλλες Διατάξεις», όπως ισχύουν.</w:t>
      </w:r>
    </w:p>
    <w:p>
      <w:pPr>
        <w:pStyle w:val="StructureList1"/>
        <w:spacing w:before="120" w:after="0"/>
        <w:rPr>
          <w:lang w:val="el" w:eastAsia="el"/>
        </w:rPr>
      </w:pPr>
      <w:r>
        <w:rPr>
          <w:lang w:val="el" w:eastAsia="el"/>
        </w:rPr>
        <w:t>β)</w:t>
      </w:r>
      <w:r>
        <w:rPr>
          <w:lang w:val="en" w:eastAsia="en"/>
        </w:rPr>
        <w:tab/>
      </w:r>
      <w:r>
        <w:rPr>
          <w:lang w:val="el" w:eastAsia="el"/>
        </w:rPr>
        <w:t>της Α.Υ.Ο. ΠΟΛ.1220/2012 (Β΄ 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lang w:val="el" w:eastAsia="el"/>
        </w:rPr>
        <w:t>γ)</w:t>
      </w:r>
      <w:r>
        <w:rPr>
          <w:lang w:val="en" w:eastAsia="en"/>
        </w:rPr>
        <w:tab/>
      </w:r>
      <w:r>
        <w:rPr>
          <w:lang w:val="el" w:eastAsia="el"/>
        </w:rPr>
        <w:t>της Α.Υ.Ο.Ο. ΠΟΛ.1157/2002 (Β΄ 718)«Ανάκληση αδειών καταλληλότητας των Φορολογικών Ταμειακών Μηχανών, οι οποίες δεν δύνανται να λειτουργούν με ευρώ.»</w:t>
      </w:r>
    </w:p>
    <w:p>
      <w:pPr>
        <w:pStyle w:val="StructureList1"/>
        <w:spacing w:before="120" w:after="0"/>
        <w:rPr>
          <w:lang w:val="el" w:eastAsia="el"/>
        </w:rPr>
      </w:pPr>
      <w:r>
        <w:rPr>
          <w:lang w:val="el" w:eastAsia="el"/>
        </w:rPr>
        <w:t>δ)</w:t>
      </w:r>
      <w:r>
        <w:rPr>
          <w:lang w:val="en" w:eastAsia="en"/>
        </w:rPr>
        <w:tab/>
      </w:r>
      <w:r>
        <w:rPr>
          <w:lang w:val="el" w:eastAsia="el"/>
        </w:rPr>
        <w:t>της Α.Υ.Ο.Ο. ΠΟΛ.1063/2008 (Β΄ 633) «Απαγόρευση εισαγωγής / παραγωγής, σφράγισης και διάθεσης παλαιών μοντέλων ΦΗΜ και φορολογικών μνημών αυτών, των οποίων η άδεια καταλληλότητας υπερβαίνει τα 4 έτη από την ημερομηνία χορήγησής της» ε) της Απόφασης Γ.Γ.Δ.Ε ΠΟΛ 1068/2015 (Β΄ 497)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 – χρηστών Φ.Η.Μ..»</w:t>
      </w:r>
    </w:p>
    <w:p>
      <w:pPr>
        <w:pStyle w:val="StructureList1"/>
        <w:spacing w:before="120" w:after="0"/>
        <w:rPr>
          <w:lang w:val="el" w:eastAsia="el"/>
        </w:rPr>
      </w:pPr>
      <w:r>
        <w:rPr>
          <w:lang w:val="el" w:eastAsia="el"/>
        </w:rPr>
        <w:t>στ)</w:t>
      </w:r>
      <w:r>
        <w:rPr>
          <w:lang w:val="en" w:eastAsia="en"/>
        </w:rPr>
        <w:tab/>
      </w:r>
      <w:r>
        <w:rPr>
          <w:lang w:val="el" w:eastAsia="el"/>
        </w:rPr>
        <w:t>του Κεφαλαίου Α’ «Σύσταση Ανεξάρτητης Αρχής Δημοσίων Εσόδων» του ν. 4389/2016 (Α΄ 94) και ειδικότερα των παραγράφων 1 και 5 του άρθρου 14, της παραγράφου 1 του άρθρου 2, του άρθρου 7 και των υποπαραγράφων 2 και 3 του άρθρου 41 αυτού.</w:t>
      </w:r>
    </w:p>
    <w:p>
      <w:pPr>
        <w:pStyle w:val="StructureList1"/>
        <w:spacing w:before="120" w:after="0"/>
        <w:rPr>
          <w:lang w:val="el" w:eastAsia="el"/>
        </w:rPr>
      </w:pPr>
      <w:r>
        <w:rPr>
          <w:lang w:val="el" w:eastAsia="el"/>
        </w:rPr>
        <w:t>ζ)</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4. Την με αριθμ.39/3/30-11-2017 απόφαση του Συμβουλίου Διοίκησης της Α.Α.Δ.Ε. (ΦΕΚ689 Υ.Ο.Δ.Δ./20-12-2017) «Ανανέωση της θητείας του Διοικητή της Α.Α.Δ.Ε.».</w:t>
      </w:r>
    </w:p>
    <w:p>
      <w:pPr>
        <w:spacing w:before="240" w:after="240"/>
        <w:rPr>
          <w:lang w:val="el" w:eastAsia="el"/>
        </w:rPr>
      </w:pPr>
      <w:r>
        <w:rPr>
          <w:lang w:val="el" w:eastAsia="el"/>
        </w:rPr>
        <w:t>5. Την απόφαση της Επιτροπής Ελέγχου Καταλληλότητας ΦΗΜ κατά την συνεδρίασή της την 11-9-2017.</w:t>
      </w:r>
    </w:p>
    <w:p>
      <w:pPr>
        <w:spacing w:before="240" w:after="240"/>
        <w:rPr>
          <w:lang w:val="el" w:eastAsia="el"/>
        </w:rPr>
      </w:pPr>
      <w:r>
        <w:rPr>
          <w:lang w:val="el" w:eastAsia="el"/>
        </w:rPr>
        <w:t>6. Την ανάγκη παροχής πρόσθετου χρόνου για την υποβολή δήλωσης παύσης των μοντέλων Φ.Η.Μ. που δεν έχουν δυνατότητα έκδοσης στοιχείων λιανικής πώλησης σε ευρώ (πίνακας Α), καθώς και αυτών η διάθεση των οποίων έχει απαγορευτεί από 1-102008 (πίνακας Β), προκειμένου να επιτευχθεί η πληρέστερη δυνατή ενημέρωση του υποσυστήματος taxis και να καταστεί δυνατή η οριστική διαγραφή των εν λόγω μοντέλων Φ.Η.Μ. από αυτό.</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Τροποποιούμε την απόφαση του Διοικητή της Α.Α.Δ.Ε. ΠΟΛ.1196/2017 (ΦΕΚ 4486 Β΄) «Απόσυρση από την χρήση μοντέλων Φ.Η.Μ. που έλαβαν άδεια καταλληλότητας με βάση την Α.Υ.Ο. Σ.1659/104/1988 (ΦΕΚ 497 Β΄) και Α.Υ.Ο. ΠΟΛ.1314/1998 (ΦΕΚ 1338 Β΄)», όπως ισχύει, ως ακολούθως:</w:t>
      </w:r>
    </w:p>
    <w:p>
      <w:pPr>
        <w:spacing w:before="240" w:after="240"/>
        <w:rPr>
          <w:lang w:val="el" w:eastAsia="el"/>
        </w:rPr>
      </w:pPr>
      <w:r>
        <w:rPr>
          <w:lang w:val="el" w:eastAsia="el"/>
        </w:rPr>
        <w:t>1. Στο πρώτο εδάφιο της προτελευταίας παραγράφου της ενότητας Α η λέξη «εκπρόθεσμη» διαγράφεται και η ημερομηνία «28-2-2018» αντικαθίσταται με την ημερομηνία «29-6-2018».</w:t>
      </w:r>
    </w:p>
    <w:p>
      <w:pPr>
        <w:spacing w:before="240" w:after="240"/>
        <w:rPr>
          <w:lang w:val="el" w:eastAsia="el"/>
        </w:rPr>
      </w:pPr>
      <w:r>
        <w:rPr>
          <w:lang w:val="el" w:eastAsia="el"/>
        </w:rPr>
        <w:t>2. Στο δεύτερο εδάφιο της προτελευταίας παραγράφου της ενότητας Α η ημερομηνία «1-3-2018» αντικαθίσταται με την ημερομηνία «30-6-2018» και η φράση «τυχόν εμφάνιση ΦΗΜ της υπόψη κατηγορίας ως ενεργού» αντικαθίσταται με τη φράση «τυχόν έκδοση στοιχείων λιανικής πώλησης από Φ.Η.Μ. της υπόψη κατηγορίας που εμφανίζεται ως ενεργός».</w:t>
      </w:r>
    </w:p>
    <w:p>
      <w:pPr>
        <w:spacing w:before="240" w:after="240"/>
        <w:rPr>
          <w:lang w:val="el" w:eastAsia="el"/>
        </w:rPr>
      </w:pPr>
      <w:r>
        <w:rPr>
          <w:lang w:val="el" w:eastAsia="el"/>
        </w:rPr>
        <w:t xml:space="preserve">3. Στη δεύτερη παράγραφο της ενότητας Β η φράση «Η απόσυρση από την χρήση πρέπει να έχει ολοκληρωθεί μέχρι την </w:t>
      </w:r>
      <w:r>
        <w:rPr>
          <w:b/>
          <w:bCs/>
          <w:lang w:val="el" w:eastAsia="el"/>
        </w:rPr>
        <w:t>31-5-2018</w:t>
      </w:r>
      <w:r>
        <w:rPr>
          <w:lang w:val="el" w:eastAsia="el"/>
        </w:rPr>
        <w:t xml:space="preserve">.» αντικαθίσταται με τη φράση «Η απόσυρση από την χρήση πρέπει να έχει ολοκληρωθεί μέχρι την </w:t>
      </w:r>
      <w:r>
        <w:rPr>
          <w:b/>
          <w:bCs/>
          <w:lang w:val="el" w:eastAsia="el"/>
        </w:rPr>
        <w:t>15-6-2018</w:t>
      </w:r>
      <w:r>
        <w:rPr>
          <w:lang w:val="el" w:eastAsia="el"/>
        </w:rPr>
        <w:t xml:space="preserve">, με εξαίρεση τις ΑΔΗΜΕ με αριθμούς έγκρισης 244, 245, 246, 272, 284, 285 και 293, των οποίων η απόσυρση από τη χρήση πρέπει να έχει ολοκληρωθεί μέχρι την </w:t>
      </w:r>
      <w:r>
        <w:rPr>
          <w:b/>
          <w:bCs/>
          <w:lang w:val="el" w:eastAsia="el"/>
        </w:rPr>
        <w:t>31-7-2018</w:t>
      </w:r>
      <w:r>
        <w:rPr>
          <w:lang w:val="el" w:eastAsia="el"/>
        </w:rPr>
        <w:t xml:space="preserve">.» Ομοίως, στο πρώτο εδάφιο της τρίτης παραγράφου της ενότητας Β η φράση «Οι κάτοχοι των ανωτέρω τύπων ΦΗΜ, υποχρεούνται να δηλώσουν μέχρι την </w:t>
      </w:r>
      <w:r>
        <w:rPr>
          <w:b/>
          <w:bCs/>
          <w:lang w:val="el" w:eastAsia="el"/>
        </w:rPr>
        <w:t>31-5-2018</w:t>
      </w:r>
      <w:r>
        <w:rPr>
          <w:lang w:val="el" w:eastAsia="el"/>
        </w:rPr>
        <w:t xml:space="preserve">, την παύση αυτών.» αντικαθίσταται με τη φράση «Οι κάτοχοι των ανωτέρω τύπων ΦΗΜ υποχρεούνται να δηλώσουν μέχρι την </w:t>
      </w:r>
      <w:r>
        <w:rPr>
          <w:b/>
          <w:bCs/>
          <w:lang w:val="el" w:eastAsia="el"/>
        </w:rPr>
        <w:t xml:space="preserve">15-6-2018 </w:t>
      </w:r>
      <w:r>
        <w:rPr>
          <w:lang w:val="el" w:eastAsia="el"/>
        </w:rPr>
        <w:t xml:space="preserve">την παύση αυτών, με εξαίρεση τις ΑΔΗΜΕ με αριθμούς έγκρισης 244, 245, 246, 272, 284, 285 και 293, οι κάτοχοι των οποίων υποχρεούνται να δηλώσουν μέχρι την </w:t>
      </w:r>
      <w:r>
        <w:rPr>
          <w:b/>
          <w:bCs/>
          <w:lang w:val="el" w:eastAsia="el"/>
        </w:rPr>
        <w:t xml:space="preserve">31-7-2018 </w:t>
      </w:r>
      <w:r>
        <w:rPr>
          <w:lang w:val="el" w:eastAsia="el"/>
        </w:rPr>
        <w:t>την παύση αυτών.»</w:t>
      </w:r>
    </w:p>
    <w:p>
      <w:pPr>
        <w:spacing w:before="240" w:after="240"/>
        <w:rPr>
          <w:lang w:val="el" w:eastAsia="el"/>
        </w:rPr>
      </w:pPr>
      <w:r>
        <w:rPr>
          <w:lang w:val="el" w:eastAsia="el"/>
        </w:rPr>
        <w:t xml:space="preserve">4. Στην τελευταία παράγραφο της ενότητας Β η φράση «Από την </w:t>
      </w:r>
      <w:r>
        <w:rPr>
          <w:b/>
          <w:bCs/>
          <w:lang w:val="el" w:eastAsia="el"/>
        </w:rPr>
        <w:t xml:space="preserve">1-6-2018 </w:t>
      </w:r>
      <w:r>
        <w:rPr>
          <w:lang w:val="el" w:eastAsia="el"/>
        </w:rPr>
        <w:t xml:space="preserve">και εξής τυχόν εμφάνιση ΦΗΜ της υπόψη κατηγορίας ως ενεργού στο υποσύστημα taxis συνιστά για τον κάτοχο-χρήστη αυτού παράβαση των διατάξεων της περίπτωσης ια΄ της παραγράφου 1 του άρθρου 54 του ν.4174/2013.» αντικαθίσταται με τη φράση «Από την </w:t>
      </w:r>
      <w:r>
        <w:rPr>
          <w:b/>
          <w:bCs/>
          <w:lang w:val="el" w:eastAsia="el"/>
        </w:rPr>
        <w:t xml:space="preserve">16-6-2018 </w:t>
      </w:r>
      <w:r>
        <w:rPr>
          <w:lang w:val="el" w:eastAsia="el"/>
        </w:rPr>
        <w:t xml:space="preserve">για τους ΦΗΜ του πίνακα Β και από την </w:t>
      </w:r>
      <w:r>
        <w:rPr>
          <w:b/>
          <w:bCs/>
          <w:lang w:val="el" w:eastAsia="el"/>
        </w:rPr>
        <w:t xml:space="preserve">1-8-2018 </w:t>
      </w:r>
      <w:r>
        <w:rPr>
          <w:lang w:val="el" w:eastAsia="el"/>
        </w:rPr>
        <w:t>για τις ΑΔΗΜΕ με αριθμούς έγκρισης 244, 245, 246, 272, 284, 285 και 293 του ίδιου πίνακα, τυχόν έκδοση στοιχείων λιανικής πώλησης από ΦΗΜ των υπόψη κατηγοριών που εμφανίζεται ως ενεργός στο υποσύστημα taxis, συνιστά για τον κάτοχο-χρήστη αυτού παράβαση των διατάξεων της περίπτωσης ια΄ της παραγράφου 1 του άρθρου 54 του ν.4174/2013.»</w:t>
      </w:r>
    </w:p>
    <w:p>
      <w:pPr>
        <w:spacing w:before="240" w:after="240"/>
        <w:rPr>
          <w:lang w:val="el" w:eastAsia="el"/>
        </w:rPr>
      </w:pPr>
      <w:r>
        <w:rPr>
          <w:lang w:val="el" w:eastAsia="el"/>
        </w:rPr>
        <w:t>5.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Εθνικό Τυπογραφείο (ηλεκτρονική διεύθυνση “webmaster.et@et.gr”), για δημοσίευση της απόφασης.</w:t>
      </w:r>
    </w:p>
    <w:p>
      <w:pPr>
        <w:spacing w:before="240" w:after="240"/>
        <w:rPr>
          <w:lang w:val="el" w:eastAsia="el"/>
        </w:rPr>
      </w:pPr>
      <w:r>
        <w:rPr>
          <w:lang w:val="el" w:eastAsia="el"/>
        </w:rPr>
        <w:t>2. Δ.ΥΠ.ΗΛ.Υ.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Σύνδεσμος Εισαγωγέων και Κατασκευαστών Ταμειακών Συστημάτων (ΣΕΚΤ), Λεωφ. Αθηνών 165, Τ.Κ. 12461, Χαϊδάρι</w:t>
      </w:r>
    </w:p>
    <w:p>
      <w:pPr>
        <w:spacing w:before="240" w:after="240"/>
        <w:rPr>
          <w:lang w:val="el" w:eastAsia="el"/>
        </w:rPr>
      </w:pPr>
      <w:r>
        <w:rPr>
          <w:lang w:val="el" w:eastAsia="el"/>
        </w:rPr>
        <w:t>2.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Τ.Κ. 15780 Ζωγράφου, Αθήνα</w:t>
      </w:r>
    </w:p>
    <w:p>
      <w:pPr>
        <w:spacing w:before="240" w:after="240"/>
        <w:rPr>
          <w:lang w:val="el" w:eastAsia="el"/>
        </w:rPr>
      </w:pPr>
      <w:r>
        <w:rPr>
          <w:lang w:val="el" w:eastAsia="el"/>
        </w:rPr>
        <w:t>3.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Τ.Κ. 15773 Ζωγράφου, Αθήνα</w:t>
      </w:r>
    </w:p>
    <w:p>
      <w:pPr>
        <w:spacing w:before="240" w:after="240"/>
        <w:rPr>
          <w:lang w:val="el" w:eastAsia="el"/>
        </w:rPr>
      </w:pPr>
      <w:r>
        <w:rPr>
          <w:lang w:val="el" w:eastAsia="el"/>
        </w:rPr>
        <w:t>4. Υπουργείο Οικονομικών</w:t>
      </w:r>
    </w:p>
    <w:p>
      <w:pPr>
        <w:pStyle w:val="StructureList1"/>
        <w:spacing w:before="120" w:after="0"/>
        <w:rPr>
          <w:lang w:val="el" w:eastAsia="el"/>
        </w:rPr>
      </w:pPr>
      <w:r>
        <w:rPr>
          <w:lang w:val="el" w:eastAsia="el"/>
        </w:rPr>
        <w:t>α)</w:t>
      </w:r>
      <w:r>
        <w:rPr>
          <w:lang w:val="en" w:eastAsia="en"/>
        </w:rPr>
        <w:tab/>
      </w:r>
      <w:r>
        <w:rPr>
          <w:lang w:val="el" w:eastAsia="el"/>
        </w:rPr>
        <w:t>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 Γραμματέα της Γ.Γ.Π.Σ. &amp; Δ.Υ.</w:t>
      </w:r>
    </w:p>
    <w:p>
      <w:pPr>
        <w:pStyle w:val="StructureList1"/>
        <w:spacing w:before="120" w:after="0"/>
        <w:rPr>
          <w:lang w:val="el" w:eastAsia="el"/>
        </w:rPr>
      </w:pPr>
      <w:r>
        <w:rPr>
          <w:lang w:val="el" w:eastAsia="el"/>
        </w:rPr>
        <w:t>δ)</w:t>
      </w:r>
      <w:r>
        <w:rPr>
          <w:lang w:val="en" w:eastAsia="en"/>
        </w:rPr>
        <w:tab/>
      </w:r>
      <w:r>
        <w:rPr>
          <w:lang w:val="el" w:eastAsia="el"/>
        </w:rPr>
        <w:t>Γραφείο Ειδικού Γραμματέα Σ.Δ.Ο.Ε.</w:t>
      </w:r>
    </w:p>
    <w:p>
      <w:pPr>
        <w:spacing w:before="240" w:after="240"/>
        <w:rPr>
          <w:lang w:val="el" w:eastAsia="el"/>
        </w:rPr>
      </w:pPr>
      <w:r>
        <w:rPr>
          <w:lang w:val="el" w:eastAsia="el"/>
        </w:rPr>
        <w:t>ε)Κεντρική Υπηρεσία Σ.Δ.Ο.Ε. και Περιφερειακές Δ/νσεις.</w:t>
      </w:r>
    </w:p>
    <w:p>
      <w:pPr>
        <w:spacing w:before="240" w:after="240"/>
        <w:rPr>
          <w:lang w:val="el" w:eastAsia="el"/>
        </w:rPr>
      </w:pPr>
      <w:r>
        <w:rPr>
          <w:lang w:val="el" w:eastAsia="el"/>
        </w:rPr>
        <w:t>5. Ανεξάρτητη Αρχή Δημοσίων Εσόδων</w:t>
      </w:r>
    </w:p>
    <w:p>
      <w:pPr>
        <w:pStyle w:val="StructureList1"/>
        <w:spacing w:before="120" w:after="0"/>
        <w:rPr>
          <w:lang w:val="el" w:eastAsia="el"/>
        </w:rPr>
      </w:pPr>
      <w:r>
        <w:rPr>
          <w:lang w:val="el" w:eastAsia="el"/>
        </w:rPr>
        <w:t>α)</w:t>
      </w:r>
      <w:r>
        <w:rPr>
          <w:lang w:val="en" w:eastAsia="en"/>
        </w:rPr>
        <w:tab/>
      </w:r>
      <w:r>
        <w:rPr>
          <w:lang w:val="el" w:eastAsia="el"/>
        </w:rPr>
        <w:t>Φορολογικές Περιφέρειες: Αθηνών, Πειραιώς, Θεσσαλονίκης, Πατρών β) ΔΙ.Π.Α.Ε.Ε.</w:t>
      </w:r>
    </w:p>
    <w:p>
      <w:pPr>
        <w:pStyle w:val="StructureList1"/>
        <w:spacing w:before="120" w:after="0"/>
        <w:rPr>
          <w:lang w:val="el" w:eastAsia="el"/>
        </w:rPr>
      </w:pPr>
      <w:r>
        <w:rPr>
          <w:lang w:val="el" w:eastAsia="el"/>
        </w:rPr>
        <w:t>γ)</w:t>
      </w:r>
      <w:r>
        <w:rPr>
          <w:lang w:val="en" w:eastAsia="en"/>
        </w:rPr>
        <w:tab/>
      </w:r>
      <w:r>
        <w:rPr>
          <w:lang w:val="el" w:eastAsia="el"/>
        </w:rPr>
        <w:t>Όλες οι Υ.Ε.Δ.Δ.Ε.</w:t>
      </w:r>
    </w:p>
    <w:p>
      <w:pPr>
        <w:pStyle w:val="StructureList1"/>
        <w:spacing w:before="120" w:after="0"/>
        <w:rPr>
          <w:lang w:val="el" w:eastAsia="el"/>
        </w:rPr>
      </w:pPr>
      <w:r>
        <w:rPr>
          <w:lang w:val="el" w:eastAsia="el"/>
        </w:rPr>
        <w:t>δ)</w:t>
      </w:r>
      <w:r>
        <w:rPr>
          <w:lang w:val="en" w:eastAsia="en"/>
        </w:rPr>
        <w:tab/>
      </w:r>
      <w:r>
        <w:rPr>
          <w:lang w:val="el" w:eastAsia="el"/>
        </w:rPr>
        <w:t>Διεύθυνση Ηλεκτρονικής Διακυβέρνησης (Δ.ΗΛΕ.Δ.)</w:t>
      </w:r>
    </w:p>
    <w:p>
      <w:pPr>
        <w:pStyle w:val="StructureList1"/>
        <w:spacing w:before="120" w:after="0"/>
        <w:rPr>
          <w:lang w:val="el" w:eastAsia="el"/>
        </w:rPr>
      </w:pPr>
      <w:r>
        <w:rPr>
          <w:lang w:val="el" w:eastAsia="el"/>
        </w:rPr>
        <w:t>ε)</w:t>
      </w:r>
      <w:r>
        <w:rPr>
          <w:lang w:val="en" w:eastAsia="en"/>
        </w:rPr>
        <w:tab/>
      </w:r>
      <w:r>
        <w:rPr>
          <w:lang w:val="el" w:eastAsia="el"/>
        </w:rPr>
        <w:t>Όλες οι Δ.Ο.Υ.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της Α.Α.Δ.Ε.</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Διευθύνσεις της Γενικής Διεύθυνσης Φορολογικής Διοίκησης</w:t>
      </w:r>
    </w:p>
    <w:p>
      <w:pPr>
        <w:spacing w:before="240" w:after="240"/>
        <w:rPr>
          <w:lang w:val="el" w:eastAsia="el"/>
        </w:rPr>
      </w:pPr>
      <w:r>
        <w:rPr>
          <w:lang w:val="el" w:eastAsia="el"/>
        </w:rPr>
        <w:t>5. Διεύθυνση Εφαρμογής Άμεσης Φορολογίας - Τμήμα Δ΄</w:t>
      </w:r>
    </w:p>
    <w:p>
      <w:pPr>
        <w:spacing w:before="240" w:after="240"/>
        <w:rPr>
          <w:lang w:val="el" w:eastAsia="el"/>
        </w:rPr>
      </w:pPr>
      <w:r>
        <w:rPr>
          <w:lang w:val="el" w:eastAsia="el"/>
        </w:rPr>
        <w:t>6. Διεύθυνση Υποστήριξης Ηλεκτρονικών Υπηρεσιών – Τμήμα 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7@mofadm.gr" TargetMode="External" /><Relationship Id="rId5" Type="http://schemas.openxmlformats.org/officeDocument/2006/relationships/hyperlink" Target="http://www.aade.gr/" TargetMode="External" /><Relationship Id="rId6" Type="http://schemas.openxmlformats.org/officeDocument/2006/relationships/hyperlink" Target="mailto:secre_dyphly@gsis.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