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ΥΠΟΥΡΓΕΙΟ ΟΙΚΟΝΟΜΙΚΩΝ</w:t>
      </w:r>
    </w:p>
    <w:p>
      <w:pPr>
        <w:pStyle w:val="PreambelText"/>
        <w:spacing w:before="240" w:after="240"/>
        <w:rPr>
          <w:lang w:val="el" w:eastAsia="el"/>
        </w:rPr>
      </w:pPr>
      <w:r>
        <w:rPr>
          <w:b/>
          <w:bCs/>
          <w:lang w:val="el" w:eastAsia="el"/>
        </w:rPr>
        <w:t>ΓΡΑΦΕΙΟ ΥΠΟΥΡΓΟΥ</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ΣΥΝΕΡΓΑΣΙΑΣ</w:t>
      </w:r>
    </w:p>
    <w:p>
      <w:pPr>
        <w:pStyle w:val="PreambelText"/>
        <w:spacing w:before="240" w:after="240"/>
        <w:rPr>
          <w:lang w:val="el" w:eastAsia="el"/>
        </w:rPr>
      </w:pPr>
      <w:r>
        <w:rPr>
          <w:b/>
          <w:bCs/>
          <w:lang w:val="el" w:eastAsia="el"/>
        </w:rPr>
        <w:t>ΘΕΜΑ: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(Α΄ 150)</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ΥΠΟΥΡΓΟΣ ΚΑΙ 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Τις διατάξεις: </w:t>
      </w:r>
      <w:r>
        <w:rPr>
          <w:b/>
          <w:bCs/>
          <w:lang w:val="el" w:eastAsia="el"/>
        </w:rPr>
        <w:t xml:space="preserve">α) </w:t>
      </w:r>
      <w:r>
        <w:rPr>
          <w:lang w:val="el" w:eastAsia="el"/>
        </w:rPr>
        <w:t xml:space="preserve">του πρώτου εδαφίου της παρ. 1 του άρθρου όγδοου του Μέρους Δεύτερου του ν. 4490/2017 (Α΄ 150) «Κύρωση της Πολυμερούς Συμφωνίας Αρμόδιων Αρχών για την Ανταλλαγή Εκθέσεων ανά Χώρα, διατάξεις εφαρμογής και λοιπές διατάξεις», </w:t>
      </w:r>
      <w:r>
        <w:rPr>
          <w:b/>
          <w:bCs/>
          <w:lang w:val="el" w:eastAsia="el"/>
        </w:rPr>
        <w:t>β</w:t>
      </w:r>
      <w:r>
        <w:rPr>
          <w:lang w:val="el" w:eastAsia="el"/>
        </w:rPr>
        <w:t>) της παρ. 2 του Τμήματος 8 του άρθρου πρώτου του Μέρους Πρώτου του ν. 4490/2017,</w:t>
      </w:r>
    </w:p>
    <w:p>
      <w:pPr>
        <w:pStyle w:val="StructureList1"/>
        <w:spacing w:before="120" w:after="0"/>
        <w:rPr>
          <w:lang w:val="el" w:eastAsia="el"/>
        </w:rPr>
      </w:pPr>
      <w:r>
        <w:rPr>
          <w:lang w:val="el" w:eastAsia="el"/>
        </w:rPr>
        <w:t>γ)</w:t>
      </w:r>
      <w:r>
        <w:rPr>
          <w:lang w:val="en" w:eastAsia="en"/>
        </w:rPr>
        <w:tab/>
      </w:r>
      <w:r>
        <w:rPr>
          <w:b/>
          <w:bCs/>
          <w:lang w:val="el" w:eastAsia="el"/>
        </w:rPr>
        <w:t>των παρ. 3 και 6 του άρθρου 28 και της παρ. 1 του άρθρου 32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1 έως 43 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b/>
          <w:bCs/>
          <w:lang w:val="el" w:eastAsia="el"/>
        </w:rPr>
        <w:t>2. Τους κάτωθι δημοσιευμένους καταλόγους, όπως αυτοί επικαιροποιούνται και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 ΟΟΣΑ σχετικά με τις Δικαιοδοσίες που έχουν υπογράψει την ΠΣΑΑ </w:t>
      </w:r>
      <w:hyperlink r:id="rId4" w:history="1">
        <w:r>
          <w:rPr>
            <w:rStyle w:val="Hyperlink"/>
            <w:b/>
            <w:bCs/>
            <w:color w:val="0000EE"/>
            <w:u w:color="0000EE"/>
            <w:lang w:val="el" w:eastAsia="el"/>
          </w:rPr>
          <w:t>(</w:t>
        </w:r>
        <w:r>
          <w:rPr>
            <w:rStyle w:val="Hyperlink"/>
            <w:b/>
            <w:bCs/>
            <w:color w:val="0000EE"/>
            <w:u w:color="0000EE"/>
            <w:lang w:val="el" w:eastAsia="el"/>
          </w:rPr>
          <w:t>https://www.oecd .org/tax/ automatic-exchange/ about-automatic-exchange/CbC -MCAA -</w:t>
        </w:r>
      </w:hyperlink>
      <w:hyperlink r:id="rId5" w:history="1">
        <w:r>
          <w:rPr>
            <w:rStyle w:val="Hyperlink"/>
            <w:b/>
            <w:bCs/>
            <w:color w:val="0000EE"/>
            <w:u w:color="0000EE"/>
            <w:lang w:val="el" w:eastAsia="el"/>
          </w:rPr>
          <w:t>Signatories.pd</w:t>
        </w:r>
      </w:hyperlink>
      <w:r>
        <w:rPr>
          <w:b/>
          <w:bCs/>
          <w:u w:val="single"/>
          <w:lang w:val="el" w:eastAsia="el"/>
        </w:rPr>
        <w:t>),</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του ΟΟΣΑ σχετικά με τις Δικαιοδοσίες της ΠΣΑΑ με ενεργοποιημένες σχέσεις ανταλλαγής των Εκθέσεων ανά Χώρα (ΕαΧ) </w:t>
      </w:r>
      <w:hyperlink r:id="rId6" w:history="1">
        <w:r>
          <w:rPr>
            <w:rStyle w:val="Hyperlink"/>
            <w:b/>
            <w:bCs/>
            <w:color w:val="0000EE"/>
            <w:u w:color="0000EE"/>
            <w:lang w:val="el" w:eastAsia="el"/>
          </w:rPr>
          <w:t>(</w:t>
        </w:r>
        <w:r>
          <w:rPr>
            <w:rStyle w:val="Hyperlink"/>
            <w:b/>
            <w:bCs/>
            <w:color w:val="0000EE"/>
            <w:u w:color="0000EE"/>
            <w:lang w:val="el" w:eastAsia="el"/>
          </w:rPr>
          <w:t>http://www.oecd .org/tax/beps/country-by-</w:t>
        </w:r>
      </w:hyperlink>
      <w:hyperlink r:id="rId7" w:history="1">
        <w:r>
          <w:rPr>
            <w:rStyle w:val="Hyperlink"/>
            <w:b/>
            <w:bCs/>
            <w:color w:val="0000EE"/>
            <w:u w:color="0000EE"/>
            <w:lang w:val="el" w:eastAsia="el"/>
          </w:rPr>
          <w:t>country-exchange-relationships.htm</w:t>
        </w:r>
      </w:hyperlink>
      <w:r>
        <w:rPr>
          <w:b/>
          <w:bCs/>
          <w:u w:val="single"/>
          <w:lang w:val="el" w:eastAsia="el"/>
        </w:rPr>
        <w:t>),</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 xml:space="preserve">του ΟΟΣΑ σχετικά με τις συμμετέχουσες Δικαιοδοσίες στη Σύμβαση </w:t>
      </w:r>
      <w:hyperlink r:id="rId8" w:history="1">
        <w:r>
          <w:rPr>
            <w:rStyle w:val="Hyperlink"/>
            <w:b/>
            <w:bCs/>
            <w:color w:val="0000EE"/>
            <w:u w:color="0000EE"/>
            <w:lang w:val="el" w:eastAsia="el"/>
          </w:rPr>
          <w:t>(</w:t>
        </w:r>
        <w:r>
          <w:rPr>
            <w:rStyle w:val="Hyperlink"/>
            <w:b/>
            <w:bCs/>
            <w:color w:val="0000EE"/>
            <w:u w:color="0000EE"/>
            <w:lang w:val="el" w:eastAsia="el"/>
          </w:rPr>
          <w:t>http://www.oecd.org/tax/exchange-of-tax-information/Status_of_convention.pdf</w:t>
        </w:r>
      </w:hyperlink>
      <w:r>
        <w:rPr>
          <w:b/>
          <w:bCs/>
          <w:u w:val="single"/>
          <w:lang w:val="el" w:eastAsia="el"/>
        </w:rPr>
        <w:t>),</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 xml:space="preserve">του ΟΟΣΑ σχετικά με τον τρόπο εφαρμογής της ΠΣΑΑ </w:t>
      </w:r>
      <w:hyperlink r:id="rId9" w:history="1">
        <w:r>
          <w:rPr>
            <w:rStyle w:val="Hyperlink"/>
            <w:b/>
            <w:bCs/>
            <w:color w:val="0000EE"/>
            <w:u w:color="0000EE"/>
            <w:lang w:val="el" w:eastAsia="el"/>
          </w:rPr>
          <w:t>(</w:t>
        </w:r>
        <w:r>
          <w:rPr>
            <w:rStyle w:val="Hyperlink"/>
            <w:b/>
            <w:bCs/>
            <w:color w:val="0000EE"/>
            <w:u w:color="0000EE"/>
            <w:lang w:val="el" w:eastAsia="el"/>
          </w:rPr>
          <w:t>http://www.oecd .org/tax/ automatic-exchange/country-specific-information-on-country-by-</w:t>
        </w:r>
      </w:hyperlink>
      <w:hyperlink r:id="rId10" w:history="1">
        <w:r>
          <w:rPr>
            <w:rStyle w:val="Hyperlink"/>
            <w:b/>
            <w:bCs/>
            <w:color w:val="0000EE"/>
            <w:u w:color="0000EE"/>
            <w:lang w:val="el" w:eastAsia="el"/>
          </w:rPr>
          <w:t>country-reporting-implementation.html</w:t>
        </w:r>
      </w:hyperlink>
      <w:r>
        <w:rPr>
          <w:b/>
          <w:bCs/>
          <w:u w:val="single"/>
          <w:lang w:val="el" w:eastAsia="el"/>
        </w:rPr>
        <w:t>)</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 xml:space="preserve">του Συμβουλίου της Ευρώπης σχετικά με τις Επιφυλάξεις των Δικαιοδοσιών επί της Σύμβασης </w:t>
      </w:r>
      <w:hyperlink r:id="rId11" w:history="1">
        <w:r>
          <w:rPr>
            <w:rStyle w:val="Hyperlink"/>
            <w:b/>
            <w:bCs/>
            <w:color w:val="0000EE"/>
            <w:u w:color="0000EE"/>
            <w:lang w:val="el" w:eastAsia="el"/>
          </w:rPr>
          <w:t>(</w:t>
        </w:r>
        <w:r>
          <w:rPr>
            <w:rStyle w:val="Hyperlink"/>
            <w:b/>
            <w:bCs/>
            <w:color w:val="0000EE"/>
            <w:u w:color="0000EE"/>
            <w:lang w:val="el" w:eastAsia="el"/>
          </w:rPr>
          <w:t>http://www.coe.int/en/web/conventions/search-on-treaties/-/conventions/treaty/</w:t>
        </w:r>
      </w:hyperlink>
      <w:hyperlink r:id="rId12" w:history="1">
        <w:r>
          <w:rPr>
            <w:rStyle w:val="Hyperlink"/>
            <w:b/>
            <w:bCs/>
            <w:color w:val="0000EE"/>
            <w:u w:color="0000EE"/>
            <w:lang w:val="el" w:eastAsia="el"/>
          </w:rPr>
          <w:t>127/declarations</w:t>
        </w:r>
      </w:hyperlink>
      <w:r>
        <w:rPr>
          <w:b/>
          <w:bCs/>
          <w:u w:val="single"/>
          <w:lang w:val="el" w:eastAsia="el"/>
        </w:rPr>
        <w:t>) και</w:t>
      </w:r>
    </w:p>
    <w:p>
      <w:pPr>
        <w:pStyle w:val="PreambelText"/>
        <w:spacing w:before="240" w:after="240"/>
        <w:rPr>
          <w:lang w:val="el" w:eastAsia="el"/>
        </w:rPr>
      </w:pPr>
      <w:r>
        <w:rPr>
          <w:b/>
          <w:bCs/>
          <w:u w:val="single"/>
          <w:lang w:val="el" w:eastAsia="el"/>
        </w:rPr>
        <w:t>την σχετική ηλεκτρονική αλληλογραφία με τον ΟΟΣΑ και την Ευρωπαϊκή Ένωση (ΕΕ).</w:t>
      </w:r>
    </w:p>
    <w:p>
      <w:pPr>
        <w:pStyle w:val="PreambelText"/>
        <w:spacing w:before="240" w:after="240"/>
        <w:rPr>
          <w:lang w:val="el" w:eastAsia="el"/>
        </w:rPr>
      </w:pPr>
      <w:r>
        <w:rPr>
          <w:b/>
          <w:bCs/>
          <w:u w:val="single"/>
          <w:lang w:val="el" w:eastAsia="el"/>
        </w:rPr>
        <w:t>3. Την από 29.06.2017 γνωστοποίηση της Ελληνικής Δημοκρατίας βάσει της υποπεριπτ. β΄ της περιπτ. ε΄ της παρ. 1 του Τμήματος 8 της ΠΣΑΑ προς τη Γραμματεία Συντονιστικού Οργάνου του ΟΟΣΑ, σχετικά με τη Δήλωση από την Αρμόδια Αρχή της Ελλάδας ότι προτίθεται να θέσει σε ισχύ και εφαρμογή την ΠΣΑΑ με όλες τις άλλες Αρμόδιες Αρχές, οι οποίες υποβάλλουν τη γνωστοποίηση σύμφωνα με την περιπτ. ε΄ της παρ. 1 του Τμήματος 8 αυτής.</w:t>
      </w:r>
    </w:p>
    <w:p>
      <w:pPr>
        <w:pStyle w:val="PreambelText"/>
        <w:spacing w:before="240" w:after="240"/>
        <w:rPr>
          <w:lang w:val="el" w:eastAsia="el"/>
        </w:rPr>
      </w:pPr>
      <w:r>
        <w:rPr>
          <w:b/>
          <w:bCs/>
          <w:u w:val="single"/>
          <w:lang w:val="el" w:eastAsia="el"/>
        </w:rPr>
        <w:t>4. Τις υποβληθείσες προς τη Γραμματεία Συντονιστικού Οργάνου του ΟΟΣΑ γνωστοποιήσεις της παρ. 1 του Τμήματος 8 του άρθρου πρώτου του Μέρους Πρώτου του ν. 4490/2017.</w:t>
      </w:r>
    </w:p>
    <w:p>
      <w:pPr>
        <w:pStyle w:val="PreambelText"/>
        <w:spacing w:before="240" w:after="240"/>
        <w:rPr>
          <w:lang w:val="el" w:eastAsia="el"/>
        </w:rPr>
      </w:pPr>
      <w:r>
        <w:rPr>
          <w:b/>
          <w:bCs/>
          <w:u w:val="single"/>
          <w:lang w:val="el" w:eastAsia="el"/>
        </w:rPr>
        <w:t>5. Την αριθμ. Δ. ΟΡΓ. Α 1036960 ΕΞ 2017/10.03.2017 Απόφαση του Διοικητή της Ανεξάρτητης Αρχής Δημοσίων Εσόδων «Οργανισμός της Ανεξάρτητης Αρχής Δημοσίων Εσόδων (Α.Α.Δ.Ε.)» (Β΄ 968).</w:t>
      </w:r>
    </w:p>
    <w:p>
      <w:pPr>
        <w:pStyle w:val="PreambelText"/>
        <w:spacing w:before="240" w:after="240"/>
        <w:rPr>
          <w:lang w:val="el" w:eastAsia="el"/>
        </w:rPr>
      </w:pPr>
      <w:r>
        <w:rPr>
          <w:b/>
          <w:bCs/>
          <w:u w:val="single"/>
          <w:lang w:val="el" w:eastAsia="el"/>
        </w:rPr>
        <w:t>6. Το π.δ.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b/>
          <w:bCs/>
          <w:u w:val="single"/>
          <w:lang w:val="el" w:eastAsia="el"/>
        </w:rPr>
        <w:t>7. Το π.δ. 125/2016 (Α΄ 210) «Διορισμός Υπουργών, Αναπληρωτών Υπουργών και Υφυπουργών».</w:t>
      </w:r>
    </w:p>
    <w:p>
      <w:pPr>
        <w:pStyle w:val="PreambelText"/>
        <w:spacing w:before="240" w:after="240"/>
        <w:rPr>
          <w:lang w:val="el" w:eastAsia="el"/>
        </w:rPr>
      </w:pPr>
      <w:r>
        <w:rPr>
          <w:b/>
          <w:bCs/>
          <w:u w:val="single"/>
          <w:lang w:val="el" w:eastAsia="el"/>
        </w:rPr>
        <w:t>8. Την απόφαση με αριθμό ΥΠΟΙΚ 0010218 ΕΞ 2016 (Β΄ 3696) «Ανάθεση αρμοδιοτήτων στην Υφυπουργό Οικονομικών Αικατερίνη Παπανάτσιου».</w:t>
      </w:r>
    </w:p>
    <w:p>
      <w:pPr>
        <w:pStyle w:val="PreambelText"/>
        <w:spacing w:before="240" w:after="240"/>
        <w:rPr>
          <w:lang w:val="el" w:eastAsia="el"/>
        </w:rPr>
      </w:pPr>
      <w:r>
        <w:rPr>
          <w:b/>
          <w:bCs/>
          <w:u w:val="single"/>
          <w:lang w:val="el" w:eastAsia="el"/>
        </w:rPr>
        <w:t>9.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pStyle w:val="PreambelText"/>
        <w:spacing w:before="240" w:after="240"/>
        <w:rPr>
          <w:lang w:val="el" w:eastAsia="el"/>
        </w:rPr>
      </w:pPr>
      <w:r>
        <w:rPr>
          <w:b/>
          <w:bCs/>
          <w:u w:val="single"/>
          <w:lang w:val="el" w:eastAsia="el"/>
        </w:rPr>
        <w:t>10.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b/>
          <w:bCs/>
          <w:u w:val="single"/>
          <w:lang w:val="el" w:eastAsia="el"/>
        </w:rPr>
        <w:t>11. Την διασφάλιση των όρων της αμοιβαιότητας για την ανταλλαγή των ΕαΧ.</w:t>
      </w:r>
    </w:p>
    <w:p>
      <w:pPr>
        <w:pStyle w:val="PreambelText"/>
        <w:spacing w:before="240" w:after="240"/>
        <w:rPr>
          <w:lang w:val="el" w:eastAsia="el"/>
        </w:rPr>
      </w:pPr>
      <w:r>
        <w:rPr>
          <w:b/>
          <w:bCs/>
          <w:u w:val="single"/>
          <w:lang w:val="el" w:eastAsia="el"/>
        </w:rPr>
        <w:t>12. Την εισήγηση της Διεύθυνσης Διεθνών Οικονομικών Σχέσεων (ΔΔΟΣ) της</w:t>
      </w:r>
    </w:p>
    <w:p>
      <w:pPr>
        <w:pStyle w:val="PreambelText"/>
        <w:spacing w:before="240" w:after="240"/>
        <w:rPr>
          <w:lang w:val="el" w:eastAsia="el"/>
        </w:rPr>
      </w:pPr>
      <w:r>
        <w:rPr>
          <w:b/>
          <w:bCs/>
          <w:u w:val="single"/>
          <w:lang w:val="el" w:eastAsia="el"/>
        </w:rPr>
        <w:t>ΑΑΔΕ ως Αρμόδιας Αρχής δυνάμει της περιπτ. ια΄ της παρ. 1 του άρθρου δεύτερου του Μέρους Δεύτερου του ν. 4490/2017.</w:t>
      </w:r>
    </w:p>
    <w:p>
      <w:pPr>
        <w:pStyle w:val="PreambelText"/>
        <w:spacing w:before="240" w:after="240"/>
        <w:rPr>
          <w:lang w:val="el" w:eastAsia="el"/>
        </w:rPr>
      </w:pPr>
      <w:r>
        <w:rPr>
          <w:b/>
          <w:bCs/>
          <w:u w:val="single"/>
          <w:lang w:val="el" w:eastAsia="el"/>
        </w:rPr>
        <w:t>13. Την ανάγκη ρύθμισης όλων των σχετικών θεμάτων προκειμένου να εφαρμοστεί ομαλά και απρόσκοπτα το πλαίσιο της αυτόματης ανταλλαγής των ΕαΧ.</w:t>
      </w:r>
    </w:p>
    <w:p>
      <w:pPr>
        <w:pStyle w:val="PreambelText"/>
        <w:spacing w:before="240" w:after="240"/>
        <w:rPr>
          <w:lang w:val="el" w:eastAsia="el"/>
        </w:rPr>
      </w:pPr>
      <w:r>
        <w:rPr>
          <w:b/>
          <w:bCs/>
          <w:u w:val="single"/>
          <w:lang w:val="el" w:eastAsia="el"/>
        </w:rPr>
        <w:t>14.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b/>
          <w:bCs/>
          <w:u w:val="single"/>
          <w:lang w:val="el" w:eastAsia="el"/>
        </w:rPr>
        <w:t xml:space="preserve"> </w:t>
      </w:r>
    </w:p>
    <w:p>
      <w:pPr>
        <w:pStyle w:val="Heading6"/>
        <w:spacing w:before="240" w:after="240"/>
        <w:rPr>
          <w:lang w:val="el" w:eastAsia="el"/>
        </w:rPr>
      </w:pPr>
      <w:r>
        <w:rPr>
          <w:b/>
          <w:bCs/>
          <w:u w:val="single"/>
          <w:lang w:val="el" w:eastAsia="el"/>
        </w:rPr>
        <w:t>Κατάλογος Δικαιοδοσιών με τις οποίες τίθεται σε ισχύ και εφαρμογή η ΠΣΑΑ</w:t>
      </w:r>
    </w:p>
    <w:p>
      <w:pPr>
        <w:spacing w:before="240" w:after="240"/>
        <w:rPr>
          <w:lang w:val="el" w:eastAsia="el"/>
        </w:rPr>
      </w:pPr>
      <w:r>
        <w:rPr>
          <w:b/>
          <w:bCs/>
          <w:u w:val="single"/>
          <w:lang w:val="el" w:eastAsia="el"/>
        </w:rPr>
        <w:t xml:space="preserve">Ορίζεται ο κατάλογος των Δικαιοδοσιών με τις οποίες τίθεται σε ισχύ και εφαρμογή η ΠΣΑΑ για την ανταλλαγή των ΕαΧ, </w:t>
      </w:r>
      <w:r>
        <w:rPr>
          <w:b/>
          <w:bCs/>
          <w:u w:val="single"/>
          <w:lang w:val="el" w:eastAsia="el"/>
        </w:rPr>
        <w:t>αναφορικά με το φορολογικό έτος 2016, ως προς το έτος της πρώτης ανταλλαγής κατά το 2018: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08"/>
        <w:gridCol w:w="1841"/>
        <w:gridCol w:w="2950"/>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ΠΙΝΑΚΑΣ ΔΙΚΑΙΟΔΟΣΙΩΝ ΜΕ ΤΙΣ ΟΠΟΙΕΣ Η ΕΛΛΑΔΑ ΠΡΟΤΙΘΕΤΑΙ ΝΑ ΘΕΣΕΙ ΣΕ ΙΣΧΥ ΚΑΙ ΕΦΑΡΜΟΓΗ ΤΗΝ ΠΟΛΥΜΕΡΗ ΣΥΜΦΩΝΙΑ ΑΡΜΟΔΙΩΝ ΑΡΧΩΝ ΓΙΑ ΤΗΝ ΑΝΤΑΛΛΑΓΗ ΕΚΘΕΣΕΩΝ ΑΝΑ ΧΩΡΑ ΩΣ ΠΡΟΣ ΤΟ ΕΤΟΣ ΤΗΣ ΠΡΩΤΗΣ ΑΝΤΑΛΛΑΓΗΣ ΚΑΤΑ ΤΟ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895"/>
        <w:gridCol w:w="1773"/>
        <w:gridCol w:w="4398"/>
        <w:gridCol w:w="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57"/>
        <w:gridCol w:w="1952"/>
        <w:gridCol w:w="2790"/>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ΠΙΝΑΚΑΣ ΔΙΚΑΙΟΔΟΣΙΩΝ ΜΕ ΤΙΣ ΟΠΟΙΕΣ Η ΕΛΛΑΔΑ ΠΡΟΤΙΘΕΤΑΙ ΝΑ ΘΕΣΕΙ ΣΕ ΙΣΧΥ ΚΑΙ ΕΦΑΡΜΟΓΗ ΤΗΝ ΠΟΛΥΜΕΡΗ ΣΥΜΦΩΝΙΑ ΑΡΜΟΔΙΩΝ ΑΡΧΩΝ ΓΙΑ ΤΗΝ ΑΝΤΑΛΛΑΓΗ ΕΚΘΕΣΕΩΝ ΑΝΑ ΧΩΡΑ, ΟΙ ΟΠΟΙΕΣ ΑΠΟΣΤΕΛΛΟΥΝ ΣΤΗΝ ΕΛΛΑΔΑ ΕαΧ ΕΘΕΛΟΝΤΙΚΑ ΚΑΤΑ ΤΟ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Liechtenstein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του 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Switzerland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Ελβετική</w:t>
            </w:r>
          </w:p>
          <w:p>
            <w:pPr>
              <w:spacing w:before="240"/>
              <w:rPr>
                <w:b w:val="0"/>
                <w:bCs w:val="0"/>
                <w:i w:val="0"/>
                <w:iCs w:val="0"/>
                <w:smallCaps w:val="0"/>
                <w:color w:val="000000"/>
                <w:lang w:val="el" w:eastAsia="el"/>
              </w:rPr>
            </w:pPr>
            <w:r>
              <w:rPr>
                <w:b w:val="0"/>
                <w:bCs w:val="0"/>
                <w:i w:val="0"/>
                <w:iCs w:val="0"/>
                <w:smallCaps w:val="0"/>
                <w:color w:val="000000"/>
                <w:lang w:val="el" w:eastAsia="el"/>
              </w:rPr>
              <w:t>Συνομοσπονδία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08"/>
        <w:gridCol w:w="1851"/>
        <w:gridCol w:w="2941"/>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ΠΙΝΑΚΑΣ ΔΙΚΑΙΟΔΟΣΙΩΝ ΜΕ ΤΙΣ ΟΠΟΙΕΣ Η ΕΛΛΑΔΑ ΠΡΟΤΙΘΕΤΑΙ ΝΑ ΘΕΣΕΙ ΣΕ ΙΣΧΥ ΚΑΙ ΕΦΑΡΜΟΓΗ ΤΗΝ ΠΟΛΥΜΕΡΗ ΣΥΜΦΩΝΙΑ ΑΡΜΟΔΙΩΝ ΑΡΧΩΝ ΓΙΑ ΤΗΝ ΑΝΤΑΛΛΑΓΗ ΕΚΘΕΣΕΩΝ ΑΝΑ ΧΩΡΑ, ΟΙ ΟΠΟΙΕΣ ΣΥΜΠΕΡΙΛΑΜΒΑΝΟΝΤΑΙ ΣΤΟΝ ΚΑΤΑΛΟΓΟ ΤΩΝ ΔΙΚΑΙΟΔΟΣΙΩΝ ΜΕ ΚΑΘΕΣΤΩΣ ΜΗ ΑΜΟΙΒΑΙΟΤΗΤΑΣ, ΜΕ ΠΡΩΤΗ ΛΗΨΗ ΕΚΘΕΣΕΩΝ ΑΝΑ ΧΩΡΑ ΚΑΤΑ ΤΟ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Έδαφος των Νήσων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w:t>
            </w:r>
          </w:p>
        </w:tc>
      </w:tr>
    </w:tbl>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Ηλεκτρονικής Διακυβέρνησης</w:t>
      </w:r>
    </w:p>
    <w:p>
      <w:pPr>
        <w:spacing w:before="240" w:after="240"/>
        <w:rPr>
          <w:lang w:val="el" w:eastAsia="el"/>
        </w:rPr>
      </w:pPr>
      <w:r>
        <w:rPr>
          <w:b/>
          <w:bCs/>
          <w:u w:val="single"/>
          <w:lang w:val="el" w:eastAsia="el"/>
        </w:rPr>
        <w:t>3. Διεύθυνση Υποστήριξης Ηλεκτρονικών Υπηρεσιών</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Γενικού Γραμματέα Πληροφοριακών Συστημάτων και Διοικητικής Υποστήριξης</w:t>
      </w:r>
    </w:p>
    <w:p>
      <w:pPr>
        <w:spacing w:before="240" w:after="240"/>
        <w:rPr>
          <w:lang w:val="el" w:eastAsia="el"/>
        </w:rPr>
      </w:pPr>
      <w:r>
        <w:rPr>
          <w:b/>
          <w:bCs/>
          <w:u w:val="single"/>
          <w:lang w:val="el" w:eastAsia="el"/>
        </w:rPr>
        <w:t>Υπουργείου Οικονομικών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Γραφείο Γενικής Γραμματέως Οικονομικής Πολιτικής</w:t>
      </w:r>
    </w:p>
    <w:p>
      <w:pPr>
        <w:spacing w:before="240" w:after="240"/>
        <w:rPr>
          <w:lang w:val="el" w:eastAsia="el"/>
        </w:rPr>
      </w:pPr>
      <w:r>
        <w:rPr>
          <w:b/>
          <w:bCs/>
          <w:u w:val="single"/>
          <w:lang w:val="el" w:eastAsia="el"/>
        </w:rPr>
        <w:t>2. Αποδέκτες πινάκων: Α΄ και 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Διοικητή της ΑΑΔΕ</w:t>
      </w:r>
    </w:p>
    <w:p>
      <w:pPr>
        <w:spacing w:before="240" w:after="240"/>
        <w:rPr>
          <w:lang w:val="el" w:eastAsia="el"/>
        </w:rPr>
      </w:pPr>
      <w:r>
        <w:rPr>
          <w:b/>
          <w:bCs/>
          <w:u w:val="single"/>
          <w:lang w:val="el" w:eastAsia="el"/>
        </w:rPr>
        <w:t>2. Προϊστάμενοι Γενικών Δ/νσεων της ΑΑΔΕ</w:t>
      </w:r>
    </w:p>
    <w:p>
      <w:pPr>
        <w:spacing w:before="240" w:after="240"/>
        <w:rPr>
          <w:lang w:val="el" w:eastAsia="el"/>
        </w:rPr>
      </w:pPr>
      <w:r>
        <w:rPr>
          <w:b/>
          <w:bCs/>
          <w:u w:val="single"/>
          <w:lang w:val="el" w:eastAsia="el"/>
        </w:rPr>
        <w:t>3.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ecd.org/tax/automatic-exchange/country-specific-information-on-country-by-country-reporting-implementation.html" TargetMode="External" /><Relationship Id="rId11" Type="http://schemas.openxmlformats.org/officeDocument/2006/relationships/hyperlink" Target="http://www.coe.int/en/web/conventions/search-on-treaties/-/conventions/treaty/127/declarations" TargetMode="External" /><Relationship Id="rId12" Type="http://schemas.openxmlformats.org/officeDocument/2006/relationships/hyperlink" Target="http://www.coe.int/en/web/conventions/search-on-treaties/-/conventions/treaty/127/declaration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ecd.org/tax/automatic-exchange/about-automatic-exchange/CbC-MCAA-Signatories.pdf" TargetMode="External" /><Relationship Id="rId5" Type="http://schemas.openxmlformats.org/officeDocument/2006/relationships/hyperlink" Target="https://www.oecd.org/tax/automatic-exchange/about-automatic-exchange/CbC-MCAA-Signatories.pdf" TargetMode="External" /><Relationship Id="rId6" Type="http://schemas.openxmlformats.org/officeDocument/2006/relationships/hyperlink" Target="http://www.oecd.org/tax/beps/country-by-country-exchange-relationships.htm" TargetMode="External" /><Relationship Id="rId7" Type="http://schemas.openxmlformats.org/officeDocument/2006/relationships/hyperlink" Target="http://www.oecd.org/tax/beps/country-by-country-exchange-relationships.htm" TargetMode="External" /><Relationship Id="rId8" Type="http://schemas.openxmlformats.org/officeDocument/2006/relationships/hyperlink" Target="http://www.oecd.org/tax/exchange-of-tax-information/Status_of_convention.pdf" TargetMode="External" /><Relationship Id="rId9" Type="http://schemas.openxmlformats.org/officeDocument/2006/relationships/hyperlink" Target="http://www.oecd.org/tax/automatic-exchange/country-specific-information-on-country-by-country-reporting-implement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