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12040/2018</w:t>
      </w:r>
    </w:p>
    <w:p>
      <w:pPr>
        <w:pStyle w:val="Title"/>
        <w:spacing w:before="120" w:after="360"/>
        <w:rPr>
          <w:lang w:val="el" w:eastAsia="el"/>
        </w:rPr>
      </w:pPr>
      <w:r>
        <w:rPr>
          <w:lang w:val="el" w:eastAsia="el"/>
        </w:rPr>
        <w:t>Καθορισμός της διαδικασίας και των δικαιολογητικών εκκαθάρισης δαπανών του Δημοσίου για την εκτέλεση συμβάσεων μίσθωσης χώρου και χρόνου που συνάπτει ο Ε.Ο.Τ. με πάσης φύσεως μέσα μαζικής επικοινωνίας στην ημεδαπή και στην αλλοδαπή.</w:t>
      </w:r>
    </w:p>
    <w:p>
      <w:pPr>
        <w:pStyle w:val="Title"/>
        <w:spacing w:before="120" w:after="360"/>
        <w:rPr>
          <w:lang w:val="el" w:eastAsia="el"/>
        </w:rPr>
      </w:pPr>
      <w:r>
        <w:rPr>
          <w:b/>
          <w:bCs/>
          <w:lang w:val="el" w:eastAsia="el"/>
        </w:rPr>
        <w:t>Αριθμ. 12040</w:t>
      </w:r>
    </w:p>
    <w:p>
      <w:pPr>
        <w:pStyle w:val="PreambelText"/>
        <w:spacing w:before="240" w:after="240"/>
        <w:rPr>
          <w:lang w:val="el" w:eastAsia="el"/>
        </w:rPr>
      </w:pPr>
      <w:r>
        <w:rPr>
          <w:lang w:val="el" w:eastAsia="el"/>
        </w:rPr>
        <w:t>(ΦΕΚ Β' 2782/12.07.2018)</w:t>
      </w:r>
    </w:p>
    <w:p>
      <w:pPr>
        <w:pStyle w:val="PreambelText"/>
        <w:spacing w:before="240" w:after="240"/>
        <w:rPr>
          <w:lang w:val="el" w:eastAsia="el"/>
        </w:rPr>
      </w:pPr>
      <w:r>
        <w:rPr>
          <w:lang w:val="el" w:eastAsia="el"/>
        </w:rPr>
        <w:t>ΟΙ ΥΠΟΥΡΓΟΙ ΟΙΚΟΝΟΜΙΚΩΝ - ΤΟΥΡΙΣΜΟΥ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της υποπερίπτωσης αα΄ της περ. β΄ της παρ. 1 του άρθρου 4 του ν. 3270/2004 (ΦΕΚ 187 Α΄) «Αρμοδιότητες Υπουργείου Τουριστικής Ανάπτυξης και θέματα τουρισμού», όπως τροποποιήθηκε με το άρθρο 38 του ν. </w:t>
      </w:r>
      <w:r>
        <w:rPr>
          <w:rStyle w:val="link"/>
          <w:lang w:val="el" w:eastAsia="el"/>
        </w:rPr>
        <w:t>4531/2018</w:t>
      </w:r>
      <w:r>
        <w:rPr>
          <w:lang w:val="el" w:eastAsia="el"/>
        </w:rPr>
        <w:t xml:space="preserve"> (ΦΕΚ Α΄ 62).</w:t>
      </w:r>
    </w:p>
    <w:p>
      <w:pPr>
        <w:pStyle w:val="StructureList1"/>
        <w:spacing w:before="120" w:after="0"/>
        <w:rPr>
          <w:lang w:val="el" w:eastAsia="el"/>
        </w:rPr>
      </w:pPr>
      <w:r>
        <w:rPr>
          <w:lang w:val="el" w:eastAsia="el"/>
        </w:rPr>
        <w:t>β)</w:t>
      </w:r>
      <w:r>
        <w:rPr>
          <w:lang w:val="en" w:eastAsia="en"/>
        </w:rPr>
        <w:tab/>
      </w:r>
      <w:r>
        <w:rPr>
          <w:lang w:val="el" w:eastAsia="el"/>
        </w:rPr>
        <w:t xml:space="preserve">Των </w:t>
      </w:r>
      <w:r>
        <w:rPr>
          <w:rStyle w:val="link"/>
          <w:lang w:val="el" w:eastAsia="el"/>
        </w:rPr>
        <w:t>άρθρων 91</w:t>
      </w:r>
      <w:r>
        <w:rPr>
          <w:lang w:val="el" w:eastAsia="el"/>
        </w:rPr>
        <w:t xml:space="preserve"> και </w:t>
      </w:r>
      <w:r>
        <w:rPr>
          <w:rStyle w:val="link"/>
          <w:lang w:val="el" w:eastAsia="el"/>
        </w:rPr>
        <w:t>92</w:t>
      </w:r>
      <w:r>
        <w:rPr>
          <w:lang w:val="el" w:eastAsia="el"/>
        </w:rPr>
        <w:t xml:space="preserve"> του ν. </w:t>
      </w:r>
      <w:r>
        <w:rPr>
          <w:rStyle w:val="link"/>
          <w:lang w:val="el" w:eastAsia="el"/>
        </w:rPr>
        <w:t>4270/2014</w:t>
      </w:r>
      <w:r>
        <w:rPr>
          <w:lang w:val="el" w:eastAsia="el"/>
        </w:rPr>
        <w:t xml:space="preserve"> (ΦΕΚ 143 Α΄) «Αρχές δημοσιονομικής διαχείρισης και εποπτείας (ενσωμάτωση της Οδηγίας 2011/85/ΕΕ) Δημόσιο Λογιστικό και άλλες διατάξεις»,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 xml:space="preserve">Του ν. </w:t>
      </w:r>
      <w:r>
        <w:rPr>
          <w:rStyle w:val="link"/>
          <w:lang w:val="el" w:eastAsia="el"/>
        </w:rPr>
        <w:t>3861/2010</w:t>
      </w:r>
      <w:r>
        <w:rPr>
          <w:lang w:val="el" w:eastAsia="el"/>
        </w:rPr>
        <w:t xml:space="preserve"> (ΦΕΚ 112 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(π.δ. 63/2005 ΦΕΚ 98 Α΄), όπως ισχύει.</w:t>
      </w:r>
    </w:p>
    <w:p>
      <w:pPr>
        <w:pStyle w:val="StructureList1"/>
        <w:spacing w:before="120" w:after="0"/>
        <w:rPr>
          <w:lang w:val="el" w:eastAsia="el"/>
        </w:rPr>
      </w:pPr>
      <w:r>
        <w:rPr>
          <w:lang w:val="el" w:eastAsia="el"/>
        </w:rPr>
        <w:t>ε)</w:t>
      </w:r>
      <w:r>
        <w:rPr>
          <w:lang w:val="en" w:eastAsia="en"/>
        </w:rPr>
        <w:tab/>
      </w:r>
      <w:r>
        <w:rPr>
          <w:lang w:val="el" w:eastAsia="el"/>
        </w:rPr>
        <w:t>Του π.δ. 127/ 2017 (ΦΕΚ 178 Α΄) «Οργανισμός Υπουργείου Τουρισμού».</w:t>
      </w:r>
    </w:p>
    <w:p>
      <w:pPr>
        <w:pStyle w:val="StructureList1"/>
        <w:spacing w:before="120" w:after="0"/>
        <w:rPr>
          <w:lang w:val="el" w:eastAsia="el"/>
        </w:rPr>
      </w:pPr>
      <w:r>
        <w:rPr>
          <w:lang w:val="el" w:eastAsia="el"/>
        </w:rPr>
        <w:t>στ)</w:t>
      </w:r>
      <w:r>
        <w:rPr>
          <w:lang w:val="en" w:eastAsia="en"/>
        </w:rPr>
        <w:tab/>
      </w:r>
      <w:r>
        <w:rPr>
          <w:lang w:val="el" w:eastAsia="el"/>
        </w:rPr>
        <w:t>Του Π.Δ. 123/2016 (ΦΕΚ 208 Α΄)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Τουρισμού και Υποδομών, Μεταφορών και Δικτύων».</w:t>
      </w:r>
    </w:p>
    <w:p>
      <w:pPr>
        <w:pStyle w:val="StructureList1"/>
        <w:spacing w:before="120" w:after="0"/>
        <w:rPr>
          <w:lang w:val="el" w:eastAsia="el"/>
        </w:rPr>
      </w:pPr>
      <w:r>
        <w:rPr>
          <w:lang w:val="el" w:eastAsia="el"/>
        </w:rPr>
        <w:t>ζ)</w:t>
      </w:r>
      <w:r>
        <w:rPr>
          <w:lang w:val="en" w:eastAsia="en"/>
        </w:rPr>
        <w:tab/>
      </w:r>
      <w:r>
        <w:rPr>
          <w:lang w:val="el" w:eastAsia="el"/>
        </w:rPr>
        <w:t>Του Π.Δ. 125/2016 (ΦΕΚ 210 Α΄) «Διορισμός Υπουργών, Αναπληρωτών Υπουργών και Υφυπουργών».</w:t>
      </w:r>
    </w:p>
    <w:p>
      <w:pPr>
        <w:pStyle w:val="StructureList1"/>
        <w:spacing w:before="120" w:after="0"/>
        <w:rPr>
          <w:lang w:val="el" w:eastAsia="el"/>
        </w:rPr>
      </w:pPr>
      <w:r>
        <w:rPr>
          <w:lang w:val="el" w:eastAsia="el"/>
        </w:rPr>
        <w:t>η)</w:t>
      </w:r>
      <w:r>
        <w:rPr>
          <w:lang w:val="en" w:eastAsia="en"/>
        </w:rPr>
        <w:tab/>
      </w:r>
      <w:r>
        <w:rPr>
          <w:lang w:val="el" w:eastAsia="el"/>
        </w:rPr>
        <w:t>Της αριθμ. Υ2/22.9.2015 (ΦΕΚ 2076 Β΄) απόφασης του Πρωθυπουργού «Σύσταση θέσεων Αναπληρωτών Υπουργών και Υφυπουργών».</w:t>
      </w:r>
    </w:p>
    <w:p>
      <w:pPr>
        <w:pStyle w:val="StructureList1"/>
        <w:spacing w:before="120" w:after="0"/>
        <w:rPr>
          <w:lang w:val="el" w:eastAsia="el"/>
        </w:rPr>
      </w:pPr>
      <w:r>
        <w:rPr>
          <w:lang w:val="el" w:eastAsia="el"/>
        </w:rPr>
        <w:t>θ)</w:t>
      </w:r>
      <w:r>
        <w:rPr>
          <w:lang w:val="en" w:eastAsia="en"/>
        </w:rPr>
        <w:tab/>
      </w:r>
      <w:r>
        <w:rPr>
          <w:lang w:val="el" w:eastAsia="el"/>
        </w:rPr>
        <w:t>Της αριθμ. Y29/8.10.2015 (ΦΕΚ 2168 Β΄) απόφασης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2. Την από 10028/8-6-2018 εισήγηση του Προϊσταμένου της Γενικής Διεύθυνσης Οικονομικών και Διοικητικών Υπηρεσιών του Υπουργείου Τουρισμού.</w:t>
      </w:r>
    </w:p>
    <w:p>
      <w:pPr>
        <w:pStyle w:val="PreambelText"/>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 Διαδικασία και Δικαιολογητικά Καθορίζουμε τη διαδικασία και τα απαιτούμενα δικαιολογητικά για την εκκαθάριση και πληρωμή των δαπανών που ανακύπτουν από την εκτέλεση συμβάσεων μίσθωσης χώρου και χρόνου που συνάπτει ο Ε.Ο.Τ. με πάσης φύσεως μέσα μαζικής επικοινωνίας στην ημεδαπή και αλλοδαπή, ως ακολούθως:</w:t>
      </w:r>
    </w:p>
    <w:p>
      <w:pPr>
        <w:spacing w:before="240" w:after="240"/>
        <w:rPr>
          <w:lang w:val="el" w:eastAsia="el"/>
        </w:rPr>
      </w:pPr>
      <w:r>
        <w:rPr>
          <w:lang w:val="el" w:eastAsia="el"/>
        </w:rPr>
        <w:t>Α. Διαδικασία</w:t>
      </w:r>
    </w:p>
    <w:p>
      <w:pPr>
        <w:spacing w:before="240" w:after="240"/>
        <w:rPr>
          <w:lang w:val="el" w:eastAsia="el"/>
        </w:rPr>
      </w:pPr>
      <w:r>
        <w:rPr>
          <w:lang w:val="el" w:eastAsia="el"/>
        </w:rPr>
        <w:t>1) Εκδίδεται από το αρμόδιο όργανο η σχετική απόφαση ανάληψης υποχρέωσης για την πραγματοποίηση της δαπάνης.</w:t>
      </w:r>
    </w:p>
    <w:p>
      <w:pPr>
        <w:spacing w:before="240" w:after="240"/>
        <w:rPr>
          <w:lang w:val="el" w:eastAsia="el"/>
        </w:rPr>
      </w:pPr>
      <w:r>
        <w:rPr>
          <w:lang w:val="el" w:eastAsia="el"/>
        </w:rPr>
        <w:t xml:space="preserve">2) α. Ακολούθως, συντάσσεται από την αρμόδια υπηρεσία του φορέα κατάσταση εκκαθάρισης και πληρωμής, στην οποία περιλαμβάνονται: </w:t>
      </w:r>
    </w:p>
    <w:p>
      <w:pPr>
        <w:pStyle w:val="StructureList1"/>
        <w:spacing w:before="120" w:after="0"/>
        <w:rPr>
          <w:lang w:val="el" w:eastAsia="el"/>
        </w:rPr>
      </w:pPr>
      <w:r>
        <w:rPr>
          <w:lang w:val="el" w:eastAsia="el"/>
        </w:rPr>
        <w:t>i)</w:t>
      </w:r>
      <w:r>
        <w:rPr>
          <w:lang w:val="en" w:eastAsia="en"/>
        </w:rPr>
        <w:tab/>
      </w:r>
      <w:r>
        <w:rPr>
          <w:lang w:val="el" w:eastAsia="el"/>
        </w:rPr>
        <w:t>ο ΚΑΕ,</w:t>
      </w:r>
    </w:p>
    <w:p>
      <w:pPr>
        <w:pStyle w:val="StructureList1"/>
        <w:spacing w:before="120" w:after="0"/>
        <w:rPr>
          <w:lang w:val="el" w:eastAsia="el"/>
        </w:rPr>
      </w:pPr>
      <w:r>
        <w:rPr>
          <w:lang w:val="el" w:eastAsia="el"/>
        </w:rPr>
        <w:t>ii)</w:t>
      </w:r>
      <w:r>
        <w:rPr>
          <w:lang w:val="en" w:eastAsia="en"/>
        </w:rPr>
        <w:tab/>
      </w:r>
      <w:r>
        <w:rPr>
          <w:lang w:val="el" w:eastAsia="el"/>
        </w:rPr>
        <w:t>το οικονομικό έτος τον προϋπολογισμό του οποίου βαρύνει η δαπάνη,</w:t>
      </w:r>
    </w:p>
    <w:p>
      <w:pPr>
        <w:pStyle w:val="StructureList1"/>
        <w:spacing w:before="120" w:after="0"/>
        <w:rPr>
          <w:lang w:val="el" w:eastAsia="el"/>
        </w:rPr>
      </w:pPr>
      <w:r>
        <w:rPr>
          <w:lang w:val="el" w:eastAsia="el"/>
        </w:rPr>
        <w:t>iii)</w:t>
      </w:r>
      <w:r>
        <w:rPr>
          <w:lang w:val="en" w:eastAsia="en"/>
        </w:rPr>
        <w:tab/>
      </w:r>
      <w:r>
        <w:rPr>
          <w:lang w:val="el" w:eastAsia="el"/>
        </w:rPr>
        <w:t xml:space="preserve">τα πλήρη στοιχεία του δικαιούχου (ονοματεπώνυμο, πατρώνυμο ταχ. δ/νση, ΑΦΜ, αριθμό τραπεζικού λογαριασμού σε μορφή ΙΒΑΝ, </w:t>
      </w:r>
    </w:p>
    <w:p>
      <w:pPr>
        <w:pStyle w:val="StructureList1"/>
        <w:spacing w:before="120" w:after="0"/>
        <w:rPr>
          <w:lang w:val="el" w:eastAsia="el"/>
        </w:rPr>
      </w:pPr>
      <w:r>
        <w:rPr>
          <w:lang w:val="el" w:eastAsia="el"/>
        </w:rPr>
        <w:t>iv)</w:t>
      </w:r>
      <w:r>
        <w:rPr>
          <w:lang w:val="en" w:eastAsia="en"/>
        </w:rPr>
        <w:tab/>
      </w:r>
      <w:r>
        <w:rPr>
          <w:lang w:val="el" w:eastAsia="el"/>
        </w:rPr>
        <w:t xml:space="preserve">το δικαιούμενο ποσό, </w:t>
      </w:r>
    </w:p>
    <w:p>
      <w:pPr>
        <w:pStyle w:val="StructureList1"/>
        <w:spacing w:before="120" w:after="0"/>
        <w:rPr>
          <w:lang w:val="el" w:eastAsia="el"/>
        </w:rPr>
      </w:pPr>
      <w:r>
        <w:rPr>
          <w:lang w:val="el" w:eastAsia="el"/>
        </w:rPr>
        <w:t>v)</w:t>
      </w:r>
      <w:r>
        <w:rPr>
          <w:lang w:val="en" w:eastAsia="en"/>
        </w:rPr>
        <w:tab/>
      </w:r>
      <w:r>
        <w:rPr>
          <w:lang w:val="el" w:eastAsia="el"/>
        </w:rPr>
        <w:t xml:space="preserve">τις σχετικές κρατήσεις, </w:t>
      </w:r>
    </w:p>
    <w:p>
      <w:pPr>
        <w:pStyle w:val="StructureList1"/>
        <w:spacing w:before="120" w:after="0"/>
        <w:rPr>
          <w:lang w:val="el" w:eastAsia="el"/>
        </w:rPr>
      </w:pPr>
      <w:r>
        <w:rPr>
          <w:lang w:val="el" w:eastAsia="el"/>
        </w:rPr>
        <w:t>vi)</w:t>
      </w:r>
      <w:r>
        <w:rPr>
          <w:lang w:val="en" w:eastAsia="en"/>
        </w:rPr>
        <w:tab/>
      </w:r>
      <w:r>
        <w:rPr>
          <w:lang w:val="el" w:eastAsia="el"/>
        </w:rPr>
        <w:t xml:space="preserve">το καθαρό πληρωτέο ποσό, </w:t>
      </w:r>
    </w:p>
    <w:p>
      <w:pPr>
        <w:pStyle w:val="StructureList1"/>
        <w:spacing w:before="120" w:after="0"/>
        <w:rPr>
          <w:lang w:val="el" w:eastAsia="el"/>
        </w:rPr>
      </w:pPr>
      <w:r>
        <w:rPr>
          <w:lang w:val="el" w:eastAsia="el"/>
        </w:rPr>
        <w:t>vii)</w:t>
      </w:r>
      <w:r>
        <w:rPr>
          <w:lang w:val="en" w:eastAsia="en"/>
        </w:rPr>
        <w:tab/>
      </w:r>
      <w:r>
        <w:rPr>
          <w:lang w:val="el" w:eastAsia="el"/>
        </w:rPr>
        <w:t>την αρμόδια Δ.Ο.Υ.</w:t>
      </w:r>
    </w:p>
    <w:p>
      <w:pPr>
        <w:spacing w:before="240" w:after="240"/>
        <w:rPr>
          <w:lang w:val="el" w:eastAsia="el"/>
        </w:rPr>
      </w:pPr>
      <w:r>
        <w:rPr>
          <w:lang w:val="el" w:eastAsia="el"/>
        </w:rPr>
        <w:t>β. Η ανωτέρω κατάσταση θεωρείται από τον Προϊστάμενο της Υπηρεσίας.</w:t>
      </w:r>
    </w:p>
    <w:p>
      <w:pPr>
        <w:spacing w:before="240" w:after="240"/>
        <w:rPr>
          <w:lang w:val="el" w:eastAsia="el"/>
        </w:rPr>
      </w:pPr>
      <w:r>
        <w:rPr>
          <w:lang w:val="el" w:eastAsia="el"/>
        </w:rPr>
        <w:t>3) Η αρμόδια Υπηρεσία εφόσον συγκεντρώσει τα δικαιολογητικά της Ενότητας Β στη συνέχεια προβαίνει στην εκκαθάριση και πληρωμή της δαπάνης, εκδίδοντας τακτικά Χρηματικά Εντάλματα (Χ.Ε.).</w:t>
      </w:r>
    </w:p>
    <w:p>
      <w:pPr>
        <w:spacing w:before="240" w:after="240"/>
        <w:rPr>
          <w:lang w:val="el" w:eastAsia="el"/>
        </w:rPr>
      </w:pPr>
      <w:r>
        <w:rPr>
          <w:lang w:val="el" w:eastAsia="el"/>
        </w:rPr>
        <w:t>4) Για την ίδια αιτία επιτρέπεται να εκδίδονται και χρηματικά εντάλματα προπληρωμής με υπολόγους τους Προϊσταμένους των Γραφείων Εξωτερικού του Ε.Ο.Τ.</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Β. Δικαιολογητικά</w:t>
      </w:r>
    </w:p>
    <w:p>
      <w:pPr>
        <w:pStyle w:val="MainText"/>
        <w:spacing w:before="120" w:after="0"/>
        <w:rPr>
          <w:lang w:val="el" w:eastAsia="el"/>
        </w:rPr>
      </w:pPr>
      <w:r>
        <w:rPr>
          <w:b/>
          <w:bCs/>
          <w:lang w:val="el" w:eastAsia="el"/>
        </w:rPr>
        <w:t>1.</w:t>
      </w:r>
      <w:r>
        <w:rPr>
          <w:lang w:val="el" w:eastAsia="el"/>
        </w:rPr>
        <w:t xml:space="preserve"> Απόφαση του αρμοδίου οργάνου για την ανάληψη της σχετικής υποχρέωσης.</w:t>
      </w:r>
    </w:p>
    <w:p>
      <w:pPr>
        <w:pStyle w:val="MainText"/>
        <w:spacing w:before="120" w:after="0"/>
        <w:rPr>
          <w:lang w:val="el" w:eastAsia="el"/>
        </w:rPr>
      </w:pPr>
      <w:r>
        <w:rPr>
          <w:b/>
          <w:bCs/>
          <w:lang w:val="el" w:eastAsia="el"/>
        </w:rPr>
        <w:t>2.</w:t>
      </w:r>
      <w:r>
        <w:rPr>
          <w:lang w:val="el" w:eastAsia="el"/>
        </w:rPr>
        <w:t xml:space="preserve"> Απόφαση του αρμοδίου οργάνου για την έγκριση της συγκεκριμένης δαπάνης.</w:t>
      </w:r>
    </w:p>
    <w:p>
      <w:pPr>
        <w:pStyle w:val="MainText"/>
        <w:spacing w:before="120" w:after="0"/>
        <w:rPr>
          <w:lang w:val="el" w:eastAsia="el"/>
        </w:rPr>
      </w:pPr>
      <w:r>
        <w:rPr>
          <w:b/>
          <w:bCs/>
          <w:lang w:val="el" w:eastAsia="el"/>
        </w:rPr>
        <w:t>3.</w:t>
      </w:r>
      <w:r>
        <w:rPr>
          <w:lang w:val="el" w:eastAsia="el"/>
        </w:rPr>
        <w:t xml:space="preserve"> Απόφαση Διοικητικού Συμβουλίου για τη μίσθωση χώρου και χρόνου κατά τα οριζόμενα στο άρθρο 4, παρ. 1, περ. β΄ υποπερ. αα) του ν. 3270/2004 με αναγραφή των στοιχείων του δικαιούχου, συνοπτική περιγραφή του αντικειμένου της σύμβασης και των λοιπών στοιχείων της χρονικής διάρκειας, του συμφωνημένου ποσού, του τρόπου πιστοποίησης ή ολοκλήρωσης του αντικειμένου, τις τυχόν ρήτρες σε περίπτωση μη εκτέλεσης με ευθύνη του δικαιούχου.</w:t>
      </w:r>
    </w:p>
    <w:p>
      <w:pPr>
        <w:pStyle w:val="MainText"/>
        <w:spacing w:before="120" w:after="0"/>
        <w:rPr>
          <w:lang w:val="el" w:eastAsia="el"/>
        </w:rPr>
      </w:pPr>
      <w:r>
        <w:rPr>
          <w:b/>
          <w:bCs/>
          <w:lang w:val="el" w:eastAsia="el"/>
        </w:rPr>
        <w:t>4.</w:t>
      </w:r>
      <w:r>
        <w:rPr>
          <w:lang w:val="el" w:eastAsia="el"/>
        </w:rPr>
        <w:t xml:space="preserve"> Πρόταση είτε με πρωτοβουλία του Ε.Ο.Τ. είτε με πρωτοβουλία του αντισυμβαλλόμενου με τον Ε.Ο.Τ., φυσικού ή νομικού προσώπου.</w:t>
      </w:r>
    </w:p>
    <w:p>
      <w:pPr>
        <w:pStyle w:val="MainText"/>
        <w:spacing w:before="120" w:after="0"/>
        <w:rPr>
          <w:lang w:val="el" w:eastAsia="el"/>
        </w:rPr>
      </w:pPr>
      <w:r>
        <w:rPr>
          <w:b/>
          <w:bCs/>
          <w:lang w:val="el" w:eastAsia="el"/>
        </w:rPr>
        <w:t>5.</w:t>
      </w:r>
      <w:r>
        <w:rPr>
          <w:lang w:val="el" w:eastAsia="el"/>
        </w:rPr>
        <w:t xml:space="preserve"> Πρωτότυπη σύμβαση των συμβαλλόμενων μερών νομότυπα υπογεγραμμένη.</w:t>
      </w:r>
    </w:p>
    <w:p>
      <w:pPr>
        <w:pStyle w:val="MainText"/>
        <w:spacing w:before="120" w:after="0"/>
        <w:rPr>
          <w:lang w:val="el" w:eastAsia="el"/>
        </w:rPr>
      </w:pPr>
      <w:r>
        <w:rPr>
          <w:b/>
          <w:bCs/>
          <w:lang w:val="el" w:eastAsia="el"/>
        </w:rPr>
        <w:t>6.</w:t>
      </w:r>
      <w:r>
        <w:rPr>
          <w:lang w:val="el" w:eastAsia="el"/>
        </w:rPr>
        <w:t xml:space="preserve"> Επικυρωμένο αντίγραφο της απόφασης του αρμοδίου οργάνου για τη σύσταση της Επιτροπής παραλαβής.</w:t>
      </w:r>
    </w:p>
    <w:p>
      <w:pPr>
        <w:pStyle w:val="MainText"/>
        <w:spacing w:before="120" w:after="0"/>
        <w:rPr>
          <w:lang w:val="el" w:eastAsia="el"/>
        </w:rPr>
      </w:pPr>
      <w:r>
        <w:rPr>
          <w:b/>
          <w:bCs/>
          <w:lang w:val="el" w:eastAsia="el"/>
        </w:rPr>
        <w:t>7.</w:t>
      </w:r>
      <w:r>
        <w:rPr>
          <w:lang w:val="el" w:eastAsia="el"/>
        </w:rPr>
        <w:t xml:space="preserve"> Φορολογικό στοιχείο αξίας που εκδίδει ο αντισυμβαλλόμενος του Ε.Ο.Τ.</w:t>
      </w:r>
    </w:p>
    <w:p>
      <w:pPr>
        <w:pStyle w:val="MainText"/>
        <w:spacing w:before="120" w:after="0"/>
        <w:rPr>
          <w:lang w:val="el" w:eastAsia="el"/>
        </w:rPr>
      </w:pPr>
      <w:r>
        <w:rPr>
          <w:b/>
          <w:bCs/>
          <w:lang w:val="el" w:eastAsia="el"/>
        </w:rPr>
        <w:t>8.</w:t>
      </w:r>
      <w:r>
        <w:rPr>
          <w:lang w:val="el" w:eastAsia="el"/>
        </w:rPr>
        <w:t xml:space="preserve"> Βεβαίωση καλής εκτέλεσης και ποσοτικής και ποιοτικής παραλαβής της οικείας επιτροπής.</w:t>
      </w:r>
    </w:p>
    <w:p>
      <w:pPr>
        <w:pStyle w:val="MainText"/>
        <w:spacing w:before="120" w:after="0"/>
        <w:rPr>
          <w:lang w:val="el" w:eastAsia="el"/>
        </w:rPr>
      </w:pPr>
      <w:r>
        <w:rPr>
          <w:b/>
          <w:bCs/>
          <w:lang w:val="el" w:eastAsia="el"/>
        </w:rPr>
        <w:t>9.</w:t>
      </w:r>
      <w:r>
        <w:rPr>
          <w:lang w:val="el" w:eastAsia="el"/>
        </w:rPr>
        <w:t xml:space="preserve"> Κατάσταση πληρωμής σε δύο αντίτυπα, θεωρημένη από τον Προϊστάμενο της Υπηρεσίας, στην οποία θα αναγράφονται τα στοιχεία που αναφέρονται στην Ενότητα Α, παρ. 2α.</w:t>
      </w:r>
    </w:p>
    <w:p>
      <w:pPr>
        <w:pStyle w:val="MainText"/>
        <w:spacing w:before="120" w:after="0"/>
        <w:rPr>
          <w:lang w:val="el" w:eastAsia="el"/>
        </w:rPr>
      </w:pPr>
      <w:r>
        <w:rPr>
          <w:b/>
          <w:bCs/>
          <w:lang w:val="el" w:eastAsia="el"/>
        </w:rPr>
        <w:t>10.</w:t>
      </w:r>
      <w:r>
        <w:rPr>
          <w:lang w:val="el" w:eastAsia="el"/>
        </w:rPr>
        <w:t xml:space="preserve"> Φορολογική ενημερότητα ή/και ασφαλιστική ενημερότητα όπου απαιτείται.</w:t>
      </w:r>
    </w:p>
    <w:p>
      <w:pPr>
        <w:spacing w:before="240" w:after="240"/>
        <w:rPr>
          <w:lang w:val="el" w:eastAsia="el"/>
        </w:rPr>
      </w:pPr>
      <w:r>
        <w:rPr>
          <w:lang w:val="el" w:eastAsia="el"/>
        </w:rPr>
        <w:t>Γ. Η πληρωμή της εντελλόμενης δαπάνης διενεργείται σε βάρος των εγκεκριμένων πιστώσεων του προϋπολογισμού του Ε.Ο.Τ. (τακτικός προϋπολογισμός ή ΠΔΕ) και ειδικότερα των ΚΑΕ 9891 ή 9491, αντίστοιχα.</w:t>
      </w:r>
    </w:p>
    <w:p>
      <w:pPr>
        <w:spacing w:before="240" w:after="240"/>
        <w:rPr>
          <w:lang w:val="el" w:eastAsia="el"/>
        </w:rPr>
      </w:pPr>
      <w:r>
        <w:rPr>
          <w:lang w:val="el" w:eastAsia="el"/>
        </w:rPr>
        <w:t>Η ισχύς της παρούσης άρχεται από της δημοσιεύσεώς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Ιουλίου 2018</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12785/2018 31.07.2018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