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133792</w:t>
      </w:r>
    </w:p>
    <w:p>
      <w:pPr>
        <w:spacing w:before="240" w:after="240"/>
        <w:rPr>
          <w:lang w:val="el" w:eastAsia="el"/>
        </w:rPr>
      </w:pPr>
      <w:r>
        <w:rPr>
          <w:b/>
          <w:bCs/>
          <w:lang w:val="el" w:eastAsia="el"/>
        </w:rPr>
        <w:t>Παράταση προθεσμίας δικαιώματος τήρησης διπλογραφικών βιβλίων μέχρι του ορίου των ακαθαρίστων εσόδων που προβλέπονται για τα απλογραφικά βιβλία για τους λογιστές φοροτεχνικούς που κατείχαν κατά τη δημοσίευση του ν. 4152/2013 επαγγελματική ταυτότητα Γ τάξης του δευτέρου εδαφίου της παρ. 1 του άρθρου 16 του π.δ. 340/1998.</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ΟΙΚΟΝΟΜΙΑΣ ΚΑΙ ΑΝΑΠΤΥΞΗΣ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 παράγραφος 2 υποπαράγραφος στ. περίπτωση vii) του ν. 2515/1997 «Άσκηση επαγγέλματος Λογιστή Φοροτεχνικού, λειτουργία Σώματος Ορκωτών Εκτιμητών (Σ.Ο.Ε.) και άλλες διατάξεις» (Α’ 154), όπως ισχύει, β) του άρθρου πρώτου παράγραφος Η υποπαράγραφος Η.2 του ν. 4152/2013 «Επείγοντα μέτρα εφαρμογής των νόμων 4046/2012, 4093/2012 και 4127/2013» (Α’ 107),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16 του π.δ. 340/1998 «Περί του επαγγέλματος του Λογιστή - Φοροτεχνικού και της αδείας ασκήσεώς του» (Α’228), όπως ισχύει,</w:t>
      </w:r>
    </w:p>
    <w:p>
      <w:pPr>
        <w:pStyle w:val="StructureList1"/>
        <w:spacing w:before="120" w:after="0"/>
        <w:rPr>
          <w:lang w:val="el" w:eastAsia="el"/>
        </w:rPr>
      </w:pPr>
      <w:r>
        <w:rPr>
          <w:lang w:val="el" w:eastAsia="el"/>
        </w:rPr>
        <w:t>δ)</w:t>
      </w:r>
      <w:r>
        <w:rPr>
          <w:lang w:val="en" w:eastAsia="en"/>
        </w:rPr>
        <w:tab/>
      </w:r>
      <w:r>
        <w:rPr>
          <w:lang w:val="el" w:eastAsia="el"/>
        </w:rPr>
        <w:t>του ν. 4308/2014 «Ελληνικά Λογιστικά Πρότυπα, συναφείς ρυθμίσεις και άλλες διατάξεις», όπως ισχύει,</w:t>
      </w:r>
    </w:p>
    <w:p>
      <w:pPr>
        <w:pStyle w:val="StructureList1"/>
        <w:spacing w:before="120" w:after="0"/>
        <w:rPr>
          <w:lang w:val="el" w:eastAsia="el"/>
        </w:rPr>
      </w:pPr>
      <w:r>
        <w:rPr>
          <w:lang w:val="el" w:eastAsia="el"/>
        </w:rPr>
        <w:t>ε)</w:t>
      </w:r>
      <w:r>
        <w:rPr>
          <w:lang w:val="en" w:eastAsia="en"/>
        </w:rPr>
        <w:tab/>
      </w:r>
      <w:r>
        <w:rPr>
          <w:lang w:val="el" w:eastAsia="el"/>
        </w:rPr>
        <w:t>του ν. 3469/2006 «Εθνικό Τυπογραφείο, Εφημερίς της Κυβερνήσεως και λοιπές διατάξεις» (Α’ 131), όπως ισχύει,</w:t>
      </w:r>
    </w:p>
    <w:p>
      <w:pPr>
        <w:pStyle w:val="StructureList1"/>
        <w:spacing w:before="120" w:after="0"/>
        <w:rPr>
          <w:lang w:val="el" w:eastAsia="el"/>
        </w:rPr>
      </w:pPr>
      <w:r>
        <w:rPr>
          <w:lang w:val="el" w:eastAsia="el"/>
        </w:rPr>
        <w:t>στ)</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αυτό-διοικητικών οργάνων στο διαδίκτυο «Πρόγραμμα Διαύγεια» και άλλες διατάξεις» (Α’ 112), όπως ισχύει,</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η)</w:t>
      </w:r>
      <w:r>
        <w:rPr>
          <w:lang w:val="en" w:eastAsia="en"/>
        </w:rPr>
        <w:tab/>
      </w:r>
      <w:r>
        <w:rPr>
          <w:lang w:val="el" w:eastAsia="el"/>
        </w:rPr>
        <w:t>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StructureList1"/>
        <w:spacing w:before="120" w:after="0"/>
        <w:rPr>
          <w:lang w:val="el" w:eastAsia="el"/>
        </w:rPr>
      </w:pPr>
      <w:r>
        <w:rPr>
          <w:lang w:val="el" w:eastAsia="el"/>
        </w:rPr>
        <w:t>θ)</w:t>
      </w:r>
      <w:r>
        <w:rPr>
          <w:lang w:val="en" w:eastAsia="en"/>
        </w:rPr>
        <w:tab/>
      </w:r>
      <w:r>
        <w:rPr>
          <w:lang w:val="el" w:eastAsia="el"/>
        </w:rPr>
        <w:t>του π.δ. 147/2017 «Οργανισμός του Υπουργείου Οικονομίας και Ανάπτυξης» (Α’ 192), όπως ισχύει,</w:t>
      </w:r>
    </w:p>
    <w:p>
      <w:pPr>
        <w:pStyle w:val="StructureList1"/>
        <w:spacing w:before="120" w:after="0"/>
        <w:rPr>
          <w:lang w:val="el" w:eastAsia="el"/>
        </w:rPr>
      </w:pPr>
      <w:r>
        <w:rPr>
          <w:lang w:val="el" w:eastAsia="el"/>
        </w:rPr>
        <w:t>ι)</w:t>
      </w:r>
      <w:r>
        <w:rPr>
          <w:lang w:val="en" w:eastAsia="en"/>
        </w:rPr>
        <w:tab/>
      </w:r>
      <w:r>
        <w:rPr>
          <w:lang w:val="el" w:eastAsia="el"/>
        </w:rPr>
        <w:t>του π.δ. 22/2018 «Διορισμός Υπουργών, Αναπληρωτή Υπουργού και Υφυπουργών» (Α’ 37).</w:t>
      </w:r>
    </w:p>
    <w:p>
      <w:pPr>
        <w:spacing w:before="240" w:after="240"/>
        <w:rPr>
          <w:lang w:val="el" w:eastAsia="el"/>
        </w:rPr>
      </w:pPr>
      <w:r>
        <w:rPr>
          <w:lang w:val="el" w:eastAsia="el"/>
        </w:rPr>
        <w:t>2. Το αριθμ. 132409-10/12/2018 έγγραφο του Γραφείου Υπουργού με θέμα «Παράταση Άδειας Λογιστών Γ´ Τάξης».</w:t>
      </w:r>
    </w:p>
    <w:p>
      <w:pPr>
        <w:spacing w:before="240" w:after="240"/>
        <w:rPr>
          <w:lang w:val="el" w:eastAsia="el"/>
        </w:rPr>
      </w:pPr>
      <w:r>
        <w:rPr>
          <w:lang w:val="el" w:eastAsia="el"/>
        </w:rPr>
        <w:t>3. Την με Α.Π.: 1219/7-12-2018 Ειδική Έκθεση της Γενικής Διεύθυνσης Οικονομικών Υποθέσεων του Υπουργείου Οικονομίας και Ανάπτυξης (άρθρο 24 παρ. 5.ε του ν. 4270/2014, όπως τροποποιήθηκε και ισχύει) βάσει της οποίας, από την παρούσα απόφαση δεν προκαλείται πρόσθετη δαπάνη σε βάρος του κρατικού προϋπολογισμού, αποφασίζουμε:</w:t>
      </w:r>
    </w:p>
    <w:p>
      <w:pPr>
        <w:spacing w:before="240" w:after="240"/>
        <w:rPr>
          <w:lang w:val="el" w:eastAsia="el"/>
        </w:rPr>
      </w:pPr>
      <w:r>
        <w:rPr>
          <w:lang w:val="el" w:eastAsia="el"/>
        </w:rPr>
        <w:t>1. Οι λογιστές φοροτεχνικοί που κατείχαν κατά τη δημοσίευση του ν. 4152/2013 επαγγελματική ταυτότητα Γ τάξης του δευτέρου εδαφίου της παρ. 1 του άρθρου 16 του π.δ. 340/1998, διατηρούν έως τις 31.12.2023 το δικαίωμα τήρησης διπλογραφικών βιβλίων μέχρι του ορίου των ακαθαρίστων εσόδων που προβλέπονται για τα απλογραφικά βιβλία των Ελληνικών Λογιστικών Προτύπων.</w:t>
      </w:r>
    </w:p>
    <w:p>
      <w:pPr>
        <w:spacing w:before="240" w:after="240"/>
        <w:rPr>
          <w:lang w:val="el" w:eastAsia="el"/>
        </w:rPr>
      </w:pPr>
      <w:r>
        <w:rPr>
          <w:lang w:val="el" w:eastAsia="el"/>
        </w:rPr>
        <w:t>2. Η ισχύς της παρούσας απόφασης αρχίζει από την 1.1.2019.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Δεκεμβρίου 2018</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ΔΡΑΓΑΣΑΚΗΣ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