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137111/2018</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στα Καθεστώτα ενισχύσεων του αναπτυξιακού νόμου 4399/2016 «Γενική Επιχειρηματικότητα» και «Ενισχύσεις Μηχανολογικού Εξοπλισμού» του έτους 2018</w:t>
      </w:r>
    </w:p>
    <w:p>
      <w:pPr>
        <w:pStyle w:val="Title"/>
        <w:spacing w:before="120" w:after="360"/>
        <w:rPr>
          <w:lang w:val="el" w:eastAsia="el"/>
        </w:rPr>
      </w:pPr>
      <w:r>
        <w:rPr>
          <w:b/>
          <w:bCs/>
          <w:lang w:val="el" w:eastAsia="el"/>
        </w:rPr>
        <w:t>Αριθμ. 137111/18-12-2018</w:t>
      </w:r>
    </w:p>
    <w:p>
      <w:pPr>
        <w:pStyle w:val="PreambelText"/>
        <w:spacing w:before="240" w:after="240"/>
        <w:rPr>
          <w:lang w:val="el" w:eastAsia="el"/>
        </w:rPr>
      </w:pPr>
      <w:r>
        <w:rPr>
          <w:lang w:val="el" w:eastAsia="el"/>
        </w:rPr>
        <w:t>(ΦΕΚ Β’ 5738/19-12-2018)</w:t>
      </w:r>
    </w:p>
    <w:p>
      <w:pPr>
        <w:pStyle w:val="PreambelText"/>
        <w:spacing w:before="240" w:after="240"/>
        <w:rPr>
          <w:lang w:val="el" w:eastAsia="el"/>
        </w:rPr>
      </w:pPr>
      <w:r>
        <w:rPr>
          <w:lang w:val="el" w:eastAsia="el"/>
        </w:rPr>
        <w:t>ΟΙ ΥΠΟΥΡΓΟΙ ΟΙΚΟΝΟΜΙΑΣ ΚΑΙ ΑΝΑΠΤΥΞΗΣ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Σύσταση Αναπτυξιακού Συμβουλίου και άλλες διατάξεις» (ΦΕΚ Α΄ 117), όπως ισχύουν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26-06-2014, σ. 1-178).</w:t>
      </w:r>
    </w:p>
    <w:p>
      <w:pPr>
        <w:pStyle w:val="PreambelText"/>
        <w:spacing w:before="240" w:after="240"/>
        <w:rPr>
          <w:lang w:val="el" w:eastAsia="el"/>
        </w:rPr>
      </w:pPr>
      <w:r>
        <w:rPr>
          <w:lang w:val="el" w:eastAsia="el"/>
        </w:rPr>
        <w:t>3. Τις διατάξεις του κανονισμού (ΕΕ) 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(ΕΕ L 193 της 01-07-2014, σ. 1-75).</w:t>
      </w:r>
    </w:p>
    <w:p>
      <w:pPr>
        <w:pStyle w:val="PreambelText"/>
        <w:spacing w:before="240" w:after="240"/>
        <w:rPr>
          <w:lang w:val="el" w:eastAsia="el"/>
        </w:rPr>
      </w:pPr>
      <w:r>
        <w:rPr>
          <w:lang w:val="el" w:eastAsia="el"/>
        </w:rPr>
        <w:t>4. Την αριθμ.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(MME), που μπορούν να υπαχθούν σε καθεστώτα ενισχύσεων του ν. 4399/2016 (Α΄ 117)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(ΦΕΚ Β΄ 4122).</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δημόσιο λογιστικό και άλλες διατάξεις», (ΦΕΚ Α΄ 143), όπως έχει τροποποιηθεί και ισχύει.</w:t>
      </w:r>
    </w:p>
    <w:p>
      <w:pPr>
        <w:pStyle w:val="PreambelText"/>
        <w:spacing w:before="240" w:after="240"/>
        <w:rPr>
          <w:lang w:val="el" w:eastAsia="el"/>
        </w:rPr>
      </w:pPr>
      <w:r>
        <w:rPr>
          <w:lang w:val="el" w:eastAsia="el"/>
        </w:rPr>
        <w:t>6. Το άρθρο 90 του «Κώδικα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7. Τις διατάξεις του π.δ. 147/2017 «Οργανισμός του Υπουργείου Οικονομίας και Ανάπτυξης» (ΦΕΚ Α΄ 192).</w:t>
      </w:r>
    </w:p>
    <w:p>
      <w:pPr>
        <w:pStyle w:val="PreambelText"/>
        <w:spacing w:before="240" w:after="240"/>
        <w:rPr>
          <w:lang w:val="el" w:eastAsia="el"/>
        </w:rPr>
      </w:pPr>
      <w:r>
        <w:rPr>
          <w:lang w:val="el" w:eastAsia="el"/>
        </w:rPr>
        <w:t>8.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(ΦΕΚ Α΄ 208).</w:t>
      </w:r>
    </w:p>
    <w:p>
      <w:pPr>
        <w:pStyle w:val="PreambelText"/>
        <w:spacing w:before="240" w:after="240"/>
        <w:rPr>
          <w:lang w:val="el" w:eastAsia="el"/>
        </w:rPr>
      </w:pPr>
      <w:r>
        <w:rPr>
          <w:lang w:val="el" w:eastAsia="el"/>
        </w:rPr>
        <w:t>9. Το π.δ. 22/2018 «Διορισμός Υπουργών, Αναπληρωτή Υπουργού και Υφυπουργών» (ΦΕΚ Α΄ 37).</w:t>
      </w:r>
    </w:p>
    <w:p>
      <w:pPr>
        <w:pStyle w:val="PreambelText"/>
        <w:spacing w:before="240" w:after="240"/>
        <w:rPr>
          <w:lang w:val="el" w:eastAsia="el"/>
        </w:rPr>
      </w:pPr>
      <w:r>
        <w:rPr>
          <w:lang w:val="el" w:eastAsia="el"/>
        </w:rPr>
        <w:t>10. Την αριθμ. Υ29/8-10-2015 απόφαση του Πρωθυπουργού «Ανάθεση αρμοδιοτήτων στον Αναπληρωτή Υπουργό Οικονομικών Γεώργιο Χουλιαράκη» (ΦΕΚ Β΄ 2168).</w:t>
      </w:r>
    </w:p>
    <w:p>
      <w:pPr>
        <w:pStyle w:val="PreambelText"/>
        <w:spacing w:before="240" w:after="240"/>
        <w:rPr>
          <w:lang w:val="el" w:eastAsia="el"/>
        </w:rPr>
      </w:pPr>
      <w:r>
        <w:rPr>
          <w:lang w:val="el" w:eastAsia="el"/>
        </w:rPr>
        <w:t>11. Την αριθμ. 44672/24-4-2015 απόφαση διορισμού μετακλητού Γενικού Γραμματέα της Γενικής Γραμματείας Στρατηγικών και Ιδιωτικών Επενδύσεων του Υπουργείου Οικονομίας, Υποδομών, Ναυτιλίας και Τουρισμού (ΦΕΚ Υ.Ο.Δ.Δ. 279).</w:t>
      </w:r>
    </w:p>
    <w:p>
      <w:pPr>
        <w:pStyle w:val="PreambelText"/>
        <w:spacing w:before="240" w:after="240"/>
        <w:rPr>
          <w:lang w:val="el" w:eastAsia="el"/>
        </w:rPr>
      </w:pPr>
      <w:r>
        <w:rPr>
          <w:lang w:val="el" w:eastAsia="el"/>
        </w:rPr>
        <w:t>12. Την C(2018)4206 final/7-6-2018 απόφαση της Ευρωπαϊκής Επιτροπής με την οποία εγκρίνεται το σχέδιο αξιολόγησης του καθεστώτος της Γενικής Επιχειρηματικότητας του ν. 4399/2016.</w:t>
      </w:r>
    </w:p>
    <w:p>
      <w:pPr>
        <w:pStyle w:val="PreambelText"/>
        <w:spacing w:before="240" w:after="240"/>
        <w:rPr>
          <w:lang w:val="el" w:eastAsia="el"/>
        </w:rPr>
      </w:pPr>
      <w:r>
        <w:rPr>
          <w:lang w:val="el" w:eastAsia="el"/>
        </w:rPr>
        <w:t xml:space="preserve">13. Την αριθμ. ΓΔΟΥ 1262/17-12-2018 ειδική έκθεση (άρθρο 75 παρ. 3 του Συντάγματος και άρθρο 24 παρ. 5ε του ν. 4270/2014, όπως τροποποιήθηκε με το άρθρο 10 παρ. 6 του ν. 4337/2015) του Προϊστάμενου της Γενικής Διεύθυνσης Οικονομικών Υπηρεσιών του Υπουργείου Οικονομίας και Ανάπτυξης. </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w:t>
      </w:r>
    </w:p>
    <w:p>
      <w:pPr>
        <w:pStyle w:val="PreambelText"/>
        <w:spacing w:before="240" w:after="240"/>
        <w:rPr>
          <w:lang w:val="el" w:eastAsia="el"/>
        </w:rPr>
      </w:pPr>
      <w:r>
        <w:rPr>
          <w:lang w:val="el" w:eastAsia="el"/>
        </w:rPr>
        <w:t xml:space="preserve">Η προκαλούμενη δαπάνη θα αντιμετωπιστεί στο πλαίσιο των υφιστάμενων ορίων του ΜΠΔΣ,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των καθεστώτων του ν. 4399/2016 που προκηρύσσονται το έτος 2018, καθορίζεται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Για το καθεστώς «Γενική Επιχειρηματικότητα», στα τετρακόσια εβδομήντα πέντε εκατομμύρια (475.000.000)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 καθεστώς «Ενισχύσεις Μηχανολογικού Εξοπλισμού», στα εκατόν πενήντα εκατομμύρια (150.000.000) ευρώ</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 xml:space="preserve">  </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2018, καθορίζεται στο ποσό των διακοσίων ενενήντα πέντε εκατομμυρίων (295.000.000) ευρώ για το καθεστώς «Γενική Επιχειρηματικότητα».</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rStyle w:val="article-num"/>
          <w:b/>
          <w:bCs/>
          <w:lang w:val="el" w:eastAsia="el"/>
        </w:rPr>
        <w:t>Άρθρο 3</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ως άνω, οριζόμενων ποσών (άρθρα 1 και 2), αφορά στις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σύμφωνα με την κοινή απόφαση των Υπουργών Οικονομίας και Ανάπτυξης και Αγροτικής Ανάπτυξης και Τροφίμων για τον καθορισμό των ειδών επενδυτικών σχεδίων του τομέα πρωτογενούς γεωργικής παραγωγής των πολύ μικρών, μικρών και μεσαίων επιχειρήσεων που έχει εκδοθεί βάσει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και των ρυθμίσεων των άρθρων 7 παρ. 6 β (ββ) και 3 παρ. 3 του ν. 4399/2016.</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Πηγές Χρηματοδότησης-Επιβάρυνση κρατικού προϋπολογισμού</w:t>
      </w:r>
    </w:p>
    <w:p>
      <w:pPr>
        <w:spacing w:before="240" w:after="240"/>
        <w:rPr>
          <w:lang w:val="el" w:eastAsia="el"/>
        </w:rPr>
      </w:pPr>
      <w:r>
        <w:rPr>
          <w:lang w:val="el" w:eastAsia="el"/>
        </w:rPr>
        <w:t xml:space="preserve">  </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διακοσίων ενενήντα πέντε εκατομμυρίων (295.000.000) ευρώ, και δύναται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β. Από τις διατάξεις της παρούσας απόφασης εκτιμάται ότι:</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 για τα έτη (2018, 2019, 2020) δεν θα προκύψει δαπάνη σε βάρος του Προϋπολογισμού Δημοσίων Επενδύσεων καθώς και απώλεια φορολογικών εσόδων.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για τo έτος (2021) θα προκύψει δαπάνη σαράντα εκατομμυρίων (40. 000.000) ευρώ σε βάρος του Προϋπολογισμού Δημοσίων Επενδύσεων και δεν θα προκύψει απώλεια φορολογικών εσόδων.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iii. για τo έτος (2022) θα προκύψει δαπάνη εβδομήντα πέντε εκατομμυρίων (75. 000.000) ευρώ σε βάρος του Προϋπολογισμού Δημοσίων Επενδύσεων και απώλεια φορολογικών εσόδων ύψους ογδόντα εκατομμυρίων (80. 000.000) ευρώ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iv. για τα επόμενα έτη η δαπάνη που θα προκύψει σε βάρος του Προϋπολογισμού Δημοσίων Επενδύσεων, συναρτάται από τον βαθμό υλοποίησης των επενδυτικών σχεδίων που θα υπαχθούν στο καθεστώς ενίσχυσης «Γενική Επιχειρηματικότητα» του αναπτυξιακού ν. 4399/2016 και πάντως δεν θα υπερβαίνει το ποσό των εκατόν ογδόντα εκατομμυρίων (180.000.000) ευρώ, ενώ η απώλεια φορολογικών εσόδων δεν θα υπερβαίνει το ποσό των τριακοσίων ενενήντα πέντε εκατομμυρίων (395.000.000)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pStyle w:val="Heading6"/>
        <w:spacing w:before="240" w:after="240"/>
        <w:rPr>
          <w:lang w:val="el" w:eastAsia="el"/>
        </w:rPr>
      </w:pPr>
      <w:r>
        <w:rPr>
          <w:rStyle w:val="article-num"/>
          <w:b/>
          <w:bCs/>
          <w:lang w:val="el" w:eastAsia="el"/>
        </w:rPr>
        <w:t xml:space="preserve">Άρθρο 5 </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Αθήνα, 18 Δεκεμβρίου 2018</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Οικονομικών</w:t>
      </w:r>
    </w:p>
    <w:p>
      <w:pPr>
        <w:spacing w:before="240" w:after="240"/>
        <w:rPr>
          <w:lang w:val="el" w:eastAsia="el"/>
        </w:rPr>
      </w:pPr>
      <w:r>
        <w:rPr>
          <w:lang w:val="el" w:eastAsia="el"/>
        </w:rPr>
        <w:t>ΓΙΩΡΓΟΣ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264/202 11.01.2021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