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w:t>
      </w:r>
    </w:p>
    <w:p>
      <w:pPr>
        <w:pStyle w:val="Title"/>
        <w:spacing w:before="120" w:after="360"/>
        <w:rPr>
          <w:lang w:val="el" w:eastAsia="el"/>
        </w:rPr>
      </w:pPr>
      <w:r>
        <w:rPr>
          <w:b/>
          <w:bCs/>
          <w:lang w:val="el" w:eastAsia="el"/>
        </w:rPr>
        <w:t>ΑΔΑ:Ψ5ΚΠ46ΜΠ3Ζ-</w:t>
      </w:r>
    </w:p>
    <w:p>
      <w:pPr>
        <w:pStyle w:val="Title"/>
        <w:spacing w:before="120" w:after="360"/>
        <w:rPr>
          <w:lang w:val="el" w:eastAsia="el"/>
        </w:rPr>
      </w:pPr>
      <w:r>
        <w:rPr>
          <w:b/>
          <w:bCs/>
          <w:lang w:val="el" w:eastAsia="el"/>
        </w:rPr>
        <w:t>ΦΕΚ: Β’ 6044/31.12.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Ι. 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Β΄- Α΄</w:t>
      </w:r>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 ΚΑΙ ΑΝΘΡΩΠΙΝΟΥ ΔΥΝΑΜΙΚΟΥ</w:t>
      </w:r>
    </w:p>
    <w:p>
      <w:pPr>
        <w:pStyle w:val="PreambelText"/>
        <w:spacing w:before="240" w:after="240"/>
        <w:rPr>
          <w:lang w:val="el" w:eastAsia="el"/>
        </w:rPr>
      </w:pPr>
      <w:r>
        <w:rPr>
          <w:b/>
          <w:bCs/>
          <w:lang w:val="el" w:eastAsia="el"/>
        </w:rPr>
        <w:t>ΔΙΕΥΘΥΝΣΗ ΗΛΕΚΤΡΟΝΙΚΗΣ ΔΙΑΚΥΒΕΡΝΗΣΗΣ ΥΠΟΔΙΕΥΘΥΝΣΕΙΣ : Β΄, Α’ ΤΜΗΜΑΤΑ : Ζ’, Α’</w:t>
      </w:r>
    </w:p>
    <w:p>
      <w:pPr>
        <w:pStyle w:val="PreambelText"/>
        <w:spacing w:before="240" w:after="240"/>
        <w:rPr>
          <w:lang w:val="el" w:eastAsia="el"/>
        </w:rPr>
      </w:pPr>
      <w:r>
        <w:rPr>
          <w:b/>
          <w:bCs/>
          <w:lang w:val="el" w:eastAsia="el"/>
        </w:rPr>
        <w:t xml:space="preserve">ΘΕΜΑ: </w:t>
      </w:r>
      <w:r>
        <w:rPr>
          <w:lang w:val="el" w:eastAsia="el"/>
        </w:rPr>
        <w:t>«Καθορισμός των προϋποθέσεων, των όρων, της διαδικασίας, του τρόπου υπολογισμού του μέσου όρου απασχόλησης, καθώς και λοιπές αναγκαίες λεπτομέρειες για την εφαρμογή των διατάξεων του άρθρου 71Δ του ν. 4172/2013 (ΦΕΚ Α’167)»</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ΟΙΚΟΝΟΜΙΚΩΝ ΚΑΙ Ο ΔΙΟΙΚΗΤΗΣ ΤΗΣ ΑΝΕΞΑΡΤΗΤΗΣ ΑΡΧΗΣ</w:t>
      </w:r>
      <w:r>
        <w:rPr>
          <w:lang w:val="el" w:eastAsia="el"/>
        </w:rPr>
        <w:br/>
      </w:r>
      <w:r>
        <w:rPr>
          <w:b/>
          <w:bCs/>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Tης παραγράφου 5 του άρθρου 71Δ του ν.4172/2013 (Α’167), όπως αυτές προστέθηκαν με τις διατάξεις της παραγράφου 1 του άρθρου 116 του ν. 4549/2018 (Α’105).</w:t>
      </w:r>
    </w:p>
    <w:p>
      <w:pPr>
        <w:pStyle w:val="PreambelText"/>
        <w:spacing w:before="240" w:after="240"/>
        <w:rPr>
          <w:lang w:val="el" w:eastAsia="el"/>
        </w:rPr>
      </w:pPr>
      <w:r>
        <w:rPr>
          <w:lang w:val="el" w:eastAsia="el"/>
        </w:rPr>
        <w:t>2. Του π.δ. 73/2015 (Α’116) «Διορισμός Αντιπροέδρου Κυβέρνησης, Υπουργών, Αναπληρωτών Υπουργών και Υφυπουργών».</w:t>
      </w:r>
    </w:p>
    <w:p>
      <w:pPr>
        <w:pStyle w:val="PreambelText"/>
        <w:spacing w:before="240" w:after="240"/>
        <w:rPr>
          <w:lang w:val="el" w:eastAsia="el"/>
        </w:rPr>
      </w:pPr>
      <w:r>
        <w:rPr>
          <w:lang w:val="el" w:eastAsia="el"/>
        </w:rPr>
        <w:t>3. Του π.δ. 125/2016 (Α’210) «Διορισμός Υπουργών, Αναπληρωτών Υπουργών και Υφυπουργών».</w:t>
      </w:r>
    </w:p>
    <w:p>
      <w:pPr>
        <w:pStyle w:val="PreambelText"/>
        <w:spacing w:before="240" w:after="240"/>
        <w:rPr>
          <w:lang w:val="el" w:eastAsia="el"/>
        </w:rPr>
      </w:pPr>
      <w:r>
        <w:rPr>
          <w:lang w:val="el" w:eastAsia="el"/>
        </w:rPr>
        <w:t>4. Του π.δ. 142/2017 (Α’181) «Οργανισμός Υπουργείου Οικονομικών», όπως ισχύει.</w:t>
      </w:r>
    </w:p>
    <w:p>
      <w:pPr>
        <w:pStyle w:val="PreambelText"/>
        <w:spacing w:before="240" w:after="240"/>
        <w:rPr>
          <w:lang w:val="el" w:eastAsia="el"/>
        </w:rPr>
      </w:pPr>
      <w:r>
        <w:rPr>
          <w:lang w:val="el" w:eastAsia="el"/>
        </w:rPr>
        <w:t>5. Του άρθρου 1 (παρ.26) του ν. 3065/2002 (Α΄251) «Μεταφορά αρμοδιοτήτων του Υπουργικού Συμβουλίου σε άλλα Κυβερνητικά Όργανα».</w:t>
      </w:r>
    </w:p>
    <w:p>
      <w:pPr>
        <w:pStyle w:val="PreambelText"/>
        <w:spacing w:before="240" w:after="240"/>
        <w:rPr>
          <w:lang w:val="el" w:eastAsia="el"/>
        </w:rPr>
      </w:pPr>
      <w:r>
        <w:rPr>
          <w:lang w:val="el" w:eastAsia="el"/>
        </w:rPr>
        <w:t>6. Του «Κώδικα Νομοθεσίας για την Κυβέρνηση και τα Κυβερνητικά Όργανα» όπως αυτός κυρώθηκε με το άρθρο πρώτο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7. Του Κεφαλαίου Α’ «Σύσταση Ανεξάρτητης Αρχής Δημοσίων Εσόδων» του ν.4389/2016 (Α΄94) και ειδικότερα του άρθρου 7, της παραγράφου 1 του άρθρου 14 και του άρθρου 41 αυτού, όπως ισχύουν.</w:t>
      </w:r>
    </w:p>
    <w:p>
      <w:pPr>
        <w:pStyle w:val="PreambelText"/>
        <w:spacing w:before="240" w:after="240"/>
        <w:rPr>
          <w:lang w:val="el" w:eastAsia="el"/>
        </w:rPr>
      </w:pPr>
      <w:r>
        <w:rPr>
          <w:lang w:val="el" w:eastAsia="el"/>
        </w:rPr>
        <w:t>B) Την υπ΄ αριθ. ΥΠΟΙΚ 0010218 ΕΞ 2016 (Β΄3696)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Γ) Την υπ’ αριθ. Δ. ΟΡΓ. Α 1036960 ΕΞ 2017/10.3.2017 (Β΄968 και Β’1238) απόφαση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lang w:val="el" w:eastAsia="el"/>
        </w:rPr>
        <w:t>Δ) Την υπ’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Ε) Την υπ’ αριθ. Δ6Α 1015213 ΕΞ 2013/28.1.2013 (Β’130 και Β’372)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pStyle w:val="PreambelText"/>
        <w:spacing w:before="240" w:after="240"/>
        <w:rPr>
          <w:lang w:val="el" w:eastAsia="el"/>
        </w:rPr>
      </w:pPr>
      <w:r>
        <w:rPr>
          <w:lang w:val="el" w:eastAsia="el"/>
        </w:rPr>
        <w:t>ΣΤ)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ΑΡΘΡΟ 1</w:t>
      </w:r>
    </w:p>
    <w:p>
      <w:pPr>
        <w:pStyle w:val="MainText"/>
        <w:spacing w:before="120" w:after="0"/>
        <w:rPr>
          <w:lang w:val="el" w:eastAsia="el"/>
        </w:rPr>
      </w:pPr>
      <w:r>
        <w:rPr>
          <w:b/>
          <w:bCs/>
          <w:lang w:val="el" w:eastAsia="el"/>
        </w:rPr>
        <w:t>1.</w:t>
      </w:r>
      <w:r>
        <w:rPr>
          <w:lang w:val="el" w:eastAsia="el"/>
        </w:rPr>
        <w:t xml:space="preserve"> Προκειμένου για την πλήρωση των προϋποθέσεων της περίπτωσης α’ της παραγράφου 1 του άρθρου 71Δ του ν.4172/2013 συγκρίνεται ο μέσος όρος του αριθμού των απασχολουμένων κατά το έτος πρόσληψης με τον μέσο όρο των απασχολουμένων του προηγούμενου έτους. Ως μέσος όρος λαμβάνεται υπόψη ο συνολικός αριθμός των απασχολούμενων στην επιχείρηση πλήρους απασχόλησης, την τελευταία εργάσιμη ημέρα κάθε μήνα, συμπεριλαμβανομένων και όσων προσλαμβάνονται για την κάλυψη έκτακτων ή εποχιακών αναγκών της επιχείρησης ή με σχέση δανεισμού με την προϋπόθεση ότι το κόστος μισθοδοσίας βαρύνει την δικαιούχο επιχείρηση.</w:t>
      </w:r>
    </w:p>
    <w:p>
      <w:pPr>
        <w:pStyle w:val="MainText"/>
        <w:spacing w:before="120" w:after="0"/>
        <w:rPr>
          <w:lang w:val="el" w:eastAsia="el"/>
        </w:rPr>
      </w:pPr>
      <w:r>
        <w:rPr>
          <w:b/>
          <w:bCs/>
          <w:lang w:val="el" w:eastAsia="el"/>
        </w:rPr>
        <w:t>2.</w:t>
      </w:r>
      <w:r>
        <w:rPr>
          <w:lang w:val="el" w:eastAsia="el"/>
        </w:rPr>
        <w:t xml:space="preserve"> Ειδικά σε περίπτωση συγχώνευσης επιχειρήσεων, ο μέσος όρος των εργαζομένων στην προερχόμενη από τη συγχώνευση εταιρεία θα προκύπτει από το άθροισμα των μέσων όρων των εργαζομένων που απασχολήθηκαν σε κάθε μία από τις συγχωνευόμενες επιχειρήσεις.</w:t>
      </w:r>
    </w:p>
    <w:p>
      <w:pPr>
        <w:pStyle w:val="MainText"/>
        <w:spacing w:before="120" w:after="0"/>
        <w:rPr>
          <w:lang w:val="el" w:eastAsia="el"/>
        </w:rPr>
      </w:pPr>
      <w:r>
        <w:rPr>
          <w:b/>
          <w:bCs/>
          <w:lang w:val="el" w:eastAsia="el"/>
        </w:rPr>
        <w:t>3.</w:t>
      </w:r>
      <w:r>
        <w:rPr>
          <w:lang w:val="el" w:eastAsia="el"/>
        </w:rPr>
        <w:t xml:space="preserve"> Για τον υπολογισμό τόσο του μέσου όρου της περίπτωσης α’ της παραγράφου 1 του άρθρου 71Δ του ν.4172/2013 όσο και της μισθολογικής δαπάνης της περίπτωσης β’ της ίδιας παραγράφου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Heading6"/>
        <w:spacing w:before="240" w:after="240"/>
        <w:rPr>
          <w:lang w:val="el" w:eastAsia="el"/>
        </w:rPr>
      </w:pPr>
      <w:r>
        <w:rPr>
          <w:rStyle w:val="article-num"/>
          <w:b/>
          <w:bCs/>
          <w:lang w:val="el" w:eastAsia="el"/>
        </w:rPr>
        <w:t>ΑΡΘΡΟ 2</w:t>
      </w:r>
    </w:p>
    <w:p>
      <w:pPr>
        <w:pStyle w:val="MainText"/>
        <w:spacing w:before="120" w:after="0"/>
        <w:rPr>
          <w:lang w:val="el" w:eastAsia="el"/>
        </w:rPr>
      </w:pPr>
      <w:r>
        <w:rPr>
          <w:b/>
          <w:bCs/>
          <w:lang w:val="el" w:eastAsia="el"/>
        </w:rPr>
        <w:t>1.</w:t>
      </w:r>
      <w:r>
        <w:rPr>
          <w:lang w:val="el" w:eastAsia="el"/>
        </w:rPr>
        <w:t xml:space="preserve"> Η έκπτωση των προσαυξημένων κατά 50% εργοδοτικών εισφορών των απασχολουμένων μέχρι το ποσό του 14πλάσιου του κατώτατου μισθού άγαμου μισθωτού άνω των είκοσι πέντε (25) ετών δίδεται με βάση τις διατάξεις της παραγράφου 2 του άρθρου 71Δ του ν.4172/2013 σε νέους που κατά την ημερομηνία πρόσληψής τους η ηλικία τους δεν υπερβαίνει τα 30 έτη ή σε μακροχρόνια ανέργους που είναι εγγεγραμμένοι στα μητρώα του ΟΑΕΔ ή των λοιπών ταμείων ανεργίας που εξομοιώνονται με τον ΟΑΕΔ μέχρι και τον χρόνο πρόσληψής τους.</w:t>
      </w:r>
    </w:p>
    <w:p>
      <w:pPr>
        <w:pStyle w:val="MainText"/>
        <w:spacing w:before="120" w:after="0"/>
        <w:rPr>
          <w:lang w:val="el" w:eastAsia="el"/>
        </w:rPr>
      </w:pPr>
      <w:r>
        <w:rPr>
          <w:b/>
          <w:bCs/>
          <w:lang w:val="el" w:eastAsia="el"/>
        </w:rPr>
        <w:t>2.</w:t>
      </w:r>
      <w:r>
        <w:rPr>
          <w:lang w:val="el" w:eastAsia="el"/>
        </w:rPr>
        <w:t xml:space="preserve"> Το φορολογικό κίνητρο της παραγράφου 1 του άρθρου 71Δ του ν.4172/2013,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 του ίδιου άρθρου. Σε περίπτωση που δεν πληρούνται οι υπόψη προϋποθέσεις για οποιοδήποτε από τα παραπάνω έτη, το κίνητρο παύει να χορηγείται για το έτος αυτό και τα επόμενα αυτού.</w:t>
      </w:r>
    </w:p>
    <w:p>
      <w:pPr>
        <w:pStyle w:val="MainText"/>
        <w:spacing w:before="120" w:after="0"/>
        <w:rPr>
          <w:lang w:val="el" w:eastAsia="el"/>
        </w:rPr>
      </w:pPr>
      <w:r>
        <w:rPr>
          <w:b/>
          <w:bCs/>
          <w:lang w:val="el" w:eastAsia="el"/>
        </w:rPr>
        <w:t>3.</w:t>
      </w:r>
      <w:r>
        <w:rPr>
          <w:lang w:val="el" w:eastAsia="el"/>
        </w:rPr>
        <w:t xml:space="preserve"> Σε περίπτωση πρόσληψης υπαλλήλου που μέχρι πρότινος εργαζόταν σε συνδεδεμένη εταιρεία κατά την έννοια του άρθρου 2 του ν.4172/2013 με την εταιρεία που τον προσλαμβάνει και η πρώτη εταιρεία είχε κάνει χρήση του φορολογικού κινήτρου, το κίνητρο αυτό δεν μπορεί να χορηγηθεί και στη δεύτερη εταιρεία για τον υπάλληλο αυτό. Η εταιρεία στην οποία μετακινείται ο υπάλληλος μπορεί να εκπέσει τις προσαυξημένες εργοδοτικές εισφορές τα υπολειπόμενα έτη από το έτος μετακίνησής του υπαλλήλου με τις ως άνω προϋποθέσεις. Τα ανωτέρω ισχύουν και σε περίπτωση συγχώνευσης, για την προερχόμενη από τη συγχώνευση εταιρεία.</w:t>
      </w:r>
    </w:p>
    <w:p>
      <w:pPr>
        <w:pStyle w:val="MainText"/>
        <w:spacing w:before="120" w:after="0"/>
        <w:rPr>
          <w:lang w:val="el" w:eastAsia="el"/>
        </w:rPr>
      </w:pPr>
      <w:r>
        <w:rPr>
          <w:b/>
          <w:bCs/>
          <w:lang w:val="el" w:eastAsia="el"/>
        </w:rPr>
        <w:t>4.</w:t>
      </w:r>
      <w:r>
        <w:rPr>
          <w:lang w:val="el" w:eastAsia="el"/>
        </w:rPr>
        <w:t xml:space="preserve"> Τα ανωτέρω πρέπει να προκύπτουν από τις μισθοδοτικές καταστάσεις της επιχείρησης και τα λοιπά στοιχεία που τηρούνται βάσει της εργατικής και ασφαλιστικής νομοθεσίας, τα οποία θα προσκομίζονται σε περίπτωση ελέγχου προκειμένου να πιστοποιείται η τήρηση των προϋποθέσεων του άρθρου 71Δ</w:t>
      </w:r>
    </w:p>
    <w:p>
      <w:pPr>
        <w:pStyle w:val="Heading6"/>
        <w:spacing w:before="240" w:after="240"/>
        <w:rPr>
          <w:lang w:val="el" w:eastAsia="el"/>
        </w:rPr>
      </w:pPr>
      <w:r>
        <w:rPr>
          <w:rStyle w:val="article-num"/>
          <w:b/>
          <w:bCs/>
          <w:lang w:val="el" w:eastAsia="el"/>
        </w:rPr>
        <w:t>ΑΡΘΡΟ 3</w:t>
      </w:r>
    </w:p>
    <w:p>
      <w:pPr>
        <w:pStyle w:val="MainText"/>
        <w:spacing w:before="120" w:after="0"/>
        <w:rPr>
          <w:lang w:val="el" w:eastAsia="el"/>
        </w:rPr>
      </w:pPr>
      <w:r>
        <w:rPr>
          <w:b/>
          <w:bCs/>
          <w:lang w:val="el" w:eastAsia="el"/>
        </w:rPr>
        <w:t>1.</w:t>
      </w:r>
      <w:r>
        <w:rPr>
          <w:lang w:val="el" w:eastAsia="el"/>
        </w:rPr>
        <w:t xml:space="preserve"> Το προσαυξημένο ποσό κατά 50% των εργοδοτικών εισφορών που καταβάλλουν τα φυσικά πρόσωπα που ασκούν επιχειρηματική δραστηριότητα, καθώς και τα νομικά πρόσωπα και οι νομικές οντότητες αφαιρείται από τα καθαρά φορολογητέα αποτελέσματά τους, όπως αυτά προκύπτουν από τη δήλωση φορολογίας εισοδήματος του φορολογικού έτους που αφορούν.</w:t>
      </w:r>
    </w:p>
    <w:p>
      <w:pPr>
        <w:pStyle w:val="MainText"/>
        <w:spacing w:before="120" w:after="0"/>
        <w:rPr>
          <w:lang w:val="el" w:eastAsia="el"/>
        </w:rPr>
      </w:pPr>
      <w:r>
        <w:rPr>
          <w:b/>
          <w:bCs/>
          <w:lang w:val="el" w:eastAsia="el"/>
        </w:rPr>
        <w:t>2.</w:t>
      </w:r>
      <w:r>
        <w:rPr>
          <w:lang w:val="el" w:eastAsia="el"/>
        </w:rPr>
        <w:t xml:space="preserve"> Εάν προκύψουν ζημίες μετά την αφαίρεση των προσαυξημένων εισφορών, η ζημία αυτή μεταφέρεται με βάση τις διατάξεις του άρθρου 27 του ν.4172/2013.</w:t>
      </w:r>
    </w:p>
    <w:p>
      <w:pPr>
        <w:pStyle w:val="MainText"/>
        <w:spacing w:before="120" w:after="0"/>
        <w:rPr>
          <w:lang w:val="el" w:eastAsia="el"/>
        </w:rPr>
      </w:pPr>
      <w:r>
        <w:rPr>
          <w:b/>
          <w:bCs/>
          <w:lang w:val="el" w:eastAsia="el"/>
        </w:rPr>
        <w:t>3.</w:t>
      </w:r>
      <w:r>
        <w:rPr>
          <w:lang w:val="el" w:eastAsia="el"/>
        </w:rPr>
        <w:t xml:space="preserve"> Οι επιχειρήσεις υποχρεούνται να υποβάλλουν με τη δήλωση φορολογίας εισοδήματος έκαστου φορολογικού έτους στο οποίο κάνουν χρήση του κινήτρου της φορολογικής απαλλαγής του άρθρου 71Δ του ν.4172/2013 υπεύθυνη δήλωση του ν.1599/1986 στην οποία εμφανίζεται ο αριθμός των εργαζομένων με πλήρη απασχόληση για κάθε μήνα του έτους υπαγωγής καθώς και του προηγούμενου έτους αυτού, ο μέσος όρος των εργαζομένων με πλήρη απασχόληση για καθένα από τα έτη αυτά, καθώς και το σύνολο της μισθολογικής δαπάνης για τα ως άνω έτη. Σε περίπτωση υποβολής με χρήση ηλεκτρονικής μεθόδου επικοινωνίας της δήλωσης φορολογίας εισοδήματος, η ως άνω υπεύθυνη δήλωση δεν συνυποβάλλεται, αλλά φυλάσσεται για τον έλεγχο.</w:t>
      </w:r>
    </w:p>
    <w:p>
      <w:pPr>
        <w:pStyle w:val="Heading6"/>
        <w:spacing w:before="240" w:after="240"/>
        <w:rPr>
          <w:lang w:val="el" w:eastAsia="el"/>
        </w:rPr>
      </w:pPr>
      <w:r>
        <w:rPr>
          <w:rStyle w:val="article-num"/>
          <w:b/>
          <w:bCs/>
          <w:lang w:val="el" w:eastAsia="el"/>
        </w:rPr>
        <w:t>ΑΡΘΡΟ 4</w:t>
      </w:r>
    </w:p>
    <w:p>
      <w:pPr>
        <w:spacing w:before="240" w:after="240"/>
        <w:rPr>
          <w:lang w:val="el" w:eastAsia="el"/>
        </w:rPr>
      </w:pPr>
      <w:r>
        <w:rPr>
          <w:lang w:val="el" w:eastAsia="el"/>
        </w:rPr>
        <w:t>Η απόφαση αυτή ισχύει από το φορολογικό έτος 2019 και εφεξής.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 xml:space="preserve">ΑΙΚΑΤΕΡΙΝΗ ΠΑΠΑΝΑΤΣΙΟΥ </w:t>
      </w:r>
      <w:r>
        <w:rPr>
          <w:b/>
          <w:bCs/>
          <w:u w:val="single"/>
          <w:lang w:val="el" w:eastAsia="el"/>
        </w:rPr>
        <w:t xml:space="preserve">ΠΙΝΑΚΑΣ ΔΙΑΝΟΜΗΣ: </w:t>
      </w:r>
      <w:r>
        <w:rPr>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lang w:val="el" w:eastAsia="el"/>
        </w:rPr>
        <w:t>5.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ΔΤΔ – Εγκεκριμένοι Οικονομικοί Φορείς</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