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lang w:val="el" w:eastAsia="el"/>
        </w:rPr>
        <w:t xml:space="preserve">1. </w:t>
      </w:r>
      <w:r>
        <w:rPr>
          <w:b/>
          <w:bCs/>
          <w:lang w:val="el" w:eastAsia="el"/>
        </w:rPr>
        <w:t>ΔΙΕΥΘΥΝΣΗ ΕΦΑΡΜΟΓΗΣ ΑΜΕΣΗΣ ΦΟΡΟΛΟΓΙΑΣ</w:t>
      </w:r>
    </w:p>
    <w:p>
      <w:pPr>
        <w:pStyle w:val="Heading1"/>
        <w:spacing w:before="240" w:after="240"/>
        <w:rPr>
          <w:lang w:val="el" w:eastAsia="el"/>
        </w:rPr>
      </w:pPr>
      <w:r>
        <w:rPr>
          <w:b/>
          <w:bCs/>
          <w:lang w:val="el" w:eastAsia="el"/>
        </w:rPr>
        <w:t>ΤΜΗΜΑ: Δ΄</w:t>
      </w:r>
    </w:p>
    <w:p>
      <w:pPr>
        <w:pStyle w:val="Heading1"/>
        <w:spacing w:before="240" w:after="240"/>
        <w:rPr>
          <w:lang w:val="el" w:eastAsia="el"/>
        </w:rPr>
      </w:pPr>
      <w:r>
        <w:rPr>
          <w:lang w:val="el" w:eastAsia="el"/>
        </w:rPr>
        <w:t xml:space="preserve">2. </w:t>
      </w:r>
      <w:r>
        <w:rPr>
          <w:b/>
          <w:bCs/>
          <w:lang w:val="el" w:eastAsia="el"/>
        </w:rPr>
        <w:t>ΔΙΕΥΘΥΝΣΗ ΕΦΑΡΜΟΓΗΣ EMΜΕΣΗΣ ΦΟΡΟΛΟΓΙΑΣ</w:t>
      </w:r>
    </w:p>
    <w:p>
      <w:pPr>
        <w:spacing w:before="240" w:after="240"/>
        <w:rPr>
          <w:lang w:val="el" w:eastAsia="el"/>
        </w:rPr>
      </w:pPr>
      <w:r>
        <w:rPr>
          <w:b/>
          <w:bCs/>
          <w:lang w:val="el" w:eastAsia="el"/>
        </w:rPr>
        <w:t>TMHMA A΄- ΦΠΑ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69"/>
        <w:gridCol w:w="43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Ταχ. Δ/νση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 Κώδικας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Τηλέφωνο</w:t>
            </w:r>
          </w:p>
          <w:p>
            <w:pPr>
              <w:spacing w:before="240" w:after="240"/>
              <w:rPr>
                <w:b w:val="0"/>
                <w:bCs w:val="0"/>
                <w:i w:val="0"/>
                <w:iCs w:val="0"/>
                <w:smallCaps w:val="0"/>
                <w:color w:val="000000"/>
                <w:lang w:val="el" w:eastAsia="el"/>
              </w:rPr>
            </w:pPr>
            <w:r>
              <w:rPr>
                <w:b w:val="0"/>
                <w:bCs w:val="0"/>
                <w:i w:val="0"/>
                <w:iCs w:val="0"/>
                <w:smallCaps w:val="0"/>
                <w:color w:val="000000"/>
                <w:lang w:val="el" w:eastAsia="el"/>
              </w:rPr>
              <w:t>Fax</w:t>
            </w:r>
          </w:p>
          <w:p>
            <w:pPr>
              <w:spacing w:before="240"/>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Καρ. Σερβίας 10</w:t>
            </w:r>
          </w:p>
          <w:p>
            <w:pPr>
              <w:spacing w:before="240" w:after="240"/>
              <w:rPr>
                <w:b w:val="0"/>
                <w:bCs w:val="0"/>
                <w:i w:val="0"/>
                <w:iCs w:val="0"/>
                <w:smallCaps w:val="0"/>
                <w:color w:val="000000"/>
                <w:lang w:val="el" w:eastAsia="el"/>
              </w:rPr>
            </w:pPr>
            <w:r>
              <w:rPr>
                <w:b w:val="0"/>
                <w:bCs w:val="0"/>
                <w:i w:val="0"/>
                <w:iCs w:val="0"/>
                <w:smallCaps w:val="0"/>
                <w:color w:val="000000"/>
                <w:lang w:val="el" w:eastAsia="el"/>
              </w:rPr>
              <w:t>: 10184 Αθήνα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210 3638389 </w:t>
            </w:r>
            <w:r>
              <w:rPr>
                <w:b w:val="0"/>
                <w:bCs w:val="0"/>
                <w:i w:val="0"/>
                <w:iCs w:val="0"/>
                <w:smallCaps w:val="0"/>
                <w:color w:val="000000"/>
                <w:sz w:val="30"/>
                <w:szCs w:val="30"/>
                <w:vertAlign w:val="superscript"/>
                <w:lang w:val="el" w:eastAsia="el"/>
              </w:rPr>
              <w:t>ΠΡΟΣ: Ως Π.Δ</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210 3615052</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d.eleg7@mofadm.gr</w:t>
              </w:r>
            </w:hyperlink>
          </w:p>
          <w:p>
            <w:pPr>
              <w:spacing w:before="240"/>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dfpa.a1@1992.syzefxis.gov.gr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6"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Θέμα: «Τροποποίηση της απόφασης Γενικού Γραμματέα Δημοσίων Εσόδων, ΠΟΛ 1115/2016, «Φορολογική αντιμετώπιση της επιστροφής χρηματικών ποσών από τους Κατόχους Αδείας Κυκλοφορίας (Κ.Α.Κ.) φαρμακευτικών προϊόντων προς τους Φορείς Κοινωνικής Ασφάλισης (Φ.Κ.Α.), βάσει των διατάξεων του ν.4052/2012».</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35 του ν. 3918/2011 (31Α΄), “Καθορισμός ποσού έκπτωσης των φαρμακευτικών εταιρειών προς τους Φορείς Κοινωνικής Ασφάλισης, τον Οργανισμό Περίθαλψης Ασφαλισμένων Δημοσίου και τα Νοσοκομεία», όπως ισχύει.</w:t>
      </w:r>
    </w:p>
    <w:p>
      <w:pPr>
        <w:spacing w:before="240" w:after="240"/>
        <w:rPr>
          <w:lang w:val="el" w:eastAsia="el"/>
        </w:rPr>
      </w:pPr>
      <w:r>
        <w:rPr>
          <w:lang w:val="el" w:eastAsia="el"/>
        </w:rPr>
        <w:t>2. Τις διατάξεις της παραγράφου 6 του άρθρου 8, καθώς και της παραγράφου 14 του άρθρου 30 του ν.4308/2014 (251Α΄).</w:t>
      </w:r>
    </w:p>
    <w:p>
      <w:pPr>
        <w:spacing w:before="240" w:after="240"/>
        <w:rPr>
          <w:lang w:val="el" w:eastAsia="el"/>
        </w:rPr>
      </w:pPr>
      <w:r>
        <w:rPr>
          <w:lang w:val="el" w:eastAsia="el"/>
        </w:rPr>
        <w:t>3. Τις διατάξεις του άρθρου 19 παρ. 1 και 5 του Κώδικα Φ.Π.Α. (ν.2859/2000 – ΦΕΚ 248Α΄)</w:t>
      </w:r>
    </w:p>
    <w:p>
      <w:pPr>
        <w:spacing w:before="240" w:after="240"/>
        <w:rPr>
          <w:lang w:val="el" w:eastAsia="el"/>
        </w:rPr>
      </w:pPr>
      <w:r>
        <w:rPr>
          <w:lang w:val="el" w:eastAsia="el"/>
        </w:rPr>
        <w:t>4.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και την αριθ. 39/3/30-11-2017 (Υ.Ο.Δ.Δ. 689) απόφαση του Συμβουλίου Διοίκησης της Α.Α.Δ.Ε. «Ανανέωση θητείας του Διοικητή της Ανεξάρτητης Αρχής Δημοσίων Εσόδων», όπως ισχύουν.</w:t>
      </w:r>
    </w:p>
    <w:p>
      <w:pPr>
        <w:spacing w:before="240" w:after="240"/>
        <w:rPr>
          <w:lang w:val="el" w:eastAsia="el"/>
        </w:rPr>
      </w:pPr>
      <w:r>
        <w:rPr>
          <w:lang w:val="el" w:eastAsia="el"/>
        </w:rPr>
        <w:t>5. Τις ΣτΕ 3447, 3448, 3449 και 3450/2015, με τις οποίες κρίθηκε ότι θεσπίσθηκε υποχρέωση «επιστροφής» και «πρόσθετης κλιμακούμενης επιστροφής» ως περιορισμός των χρηματικών απαιτήσεων των κατόχων αδειών κυκλοφορίας (Κ.Α.Κ.) των φαρμακευτικών προϊόντων κατά των φορέων κοινωνικής ασφάλισης (Φ.Κ.Α.) από τις εξωνοσοκομειακές πωλήσεις φαρμάκων (συνταγογραφούμενων ιδιοσκευασμάτων) προς χρήση των ασφαλισμένων των Φ.Κ.Α., των οποίων (πωλήσεων) τη δαπάνη καλύπτουν ολικώς ή μερικώς οι Φ.Κ.Α.</w:t>
      </w:r>
    </w:p>
    <w:p>
      <w:pPr>
        <w:spacing w:before="240" w:after="240"/>
        <w:rPr>
          <w:lang w:val="el" w:eastAsia="el"/>
        </w:rPr>
      </w:pPr>
      <w:r>
        <w:rPr>
          <w:lang w:val="el" w:eastAsia="el"/>
        </w:rPr>
        <w:t>6. Την ανάγκη ομοιόμορφης αντιμετώπισης του λογιστικού χειρισμού των ποσών έκπτωσης-επιστροφής (rebate) που χορηγούνται από τους κατόχους άδειας κυκλοφορίας φαρμακευτικών προϊόντων προς τους Φορείς Κοινωνικής Ασφάλισης, με τα επιστρεφόμενα ποσά (rebate) από τα ιδιωτικά φαρμακεία προς τους Φορείς Κοινωνικής Ασφάλισης, καθώς και από τους παρόχους υπηρεσιών υγείας προς τους Φορείς Κοινωνικής Ασφάλισης, καθώς και των εκπτώσεων-επιστροφών χρηματικών ποσών από τους Κατόχους Αδείας Κυκλοφορίας (Κ.Α.Κ.) φαρμακευτικών προϊόντων προς τους Φορείς Κοινωνικής Ασφάλισης (Φ.Κ.Α.), βάσει των διατάξεων του άρθρου 11 του ν.4052/2012 (claw-backs).</w:t>
      </w:r>
    </w:p>
    <w:p>
      <w:pPr>
        <w:spacing w:before="240" w:after="240"/>
        <w:rPr>
          <w:lang w:val="el" w:eastAsia="el"/>
        </w:rPr>
      </w:pPr>
      <w:r>
        <w:rPr>
          <w:lang w:val="el" w:eastAsia="el"/>
        </w:rPr>
        <w:t>7.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pStyle w:val="MainText"/>
        <w:spacing w:before="120" w:after="0"/>
        <w:rPr>
          <w:lang w:val="el" w:eastAsia="el"/>
        </w:rPr>
      </w:pPr>
      <w:r>
        <w:rPr>
          <w:b/>
          <w:bCs/>
          <w:lang w:val="el" w:eastAsia="el"/>
        </w:rPr>
        <w:t>1.</w:t>
      </w:r>
      <w:r>
        <w:rPr>
          <w:lang w:val="el" w:eastAsia="el"/>
        </w:rPr>
        <w:t xml:space="preserve"> Τροποποιούμε την απόφαση του Γενικού Γραμματέα Δημοσίων Εσόδων (ΑΓΓΔΕ), ΠΟΛ 1115/2016, «Φορολογική αντιμετώπιση της επιστροφής χρηματικών ποσών από τους Κατόχους Αδείας Κυκλοφορίας (Κ.Α.Κ.) φαρμακευτικών προϊόντων προς τους Φορείς Κοινωνικής Ασφάλισης (Φ.Κ.Α.), βάσει των διατάξεων του ν.4052/2012», (Β’ 2665), ως εξής:</w:t>
      </w:r>
    </w:p>
    <w:p>
      <w:pPr>
        <w:pStyle w:val="StructureList1"/>
        <w:spacing w:before="120" w:after="0"/>
        <w:rPr>
          <w:lang w:val="el" w:eastAsia="el"/>
        </w:rPr>
      </w:pPr>
      <w:r>
        <w:rPr>
          <w:lang w:val="el" w:eastAsia="el"/>
        </w:rPr>
        <w:t>α)</w:t>
      </w:r>
      <w:r>
        <w:rPr>
          <w:lang w:val="en" w:eastAsia="en"/>
        </w:rPr>
        <w:tab/>
      </w:r>
      <w:r>
        <w:rPr>
          <w:lang w:val="el" w:eastAsia="el"/>
        </w:rPr>
        <w:t>Το θέμα της ΑΓΓΔΕ ΠΟΛ 1115/2016 αντικαθίσταται ως εξής: «Φορολογική αντιμετώπιση της επιστροφής χρηματικών ποσών και της χορήγησης εκπτώσεων από τους Κατόχους Αδείας Κυκλοφορίας (Κ.Α.Κ.) φαρμακευτικών προϊόντων προς τους Φορείς Κοινωνικής Ασφάλισης (Φ.Κ.Α.), βάσει των διατάξεων του άρθρου 11 του ν.4052/2012 (claw-back) και βάσει της παρ. 3 του άρθρου 35 του ν. 3918/2011 (rebate)».</w:t>
      </w:r>
    </w:p>
    <w:p>
      <w:pPr>
        <w:pStyle w:val="StructureList1"/>
        <w:spacing w:before="120" w:after="0"/>
        <w:rPr>
          <w:lang w:val="el" w:eastAsia="el"/>
        </w:rPr>
      </w:pPr>
      <w:r>
        <w:rPr>
          <w:lang w:val="el" w:eastAsia="el"/>
        </w:rPr>
        <w:t>β)</w:t>
      </w:r>
      <w:r>
        <w:rPr>
          <w:lang w:val="en" w:eastAsia="en"/>
        </w:rPr>
        <w:tab/>
      </w:r>
      <w:r>
        <w:rPr>
          <w:lang w:val="el" w:eastAsia="el"/>
        </w:rPr>
        <w:t>Στο τέλος της παρ. 1 του άρθρου μόνου της ΑΓΓΔΕ ΠΟΛ 1115/2016 προστίθεται εδάφιo ως εξής: «Πιστωτικό τιμολόγιο της</w:t>
      </w:r>
      <w:r>
        <w:rPr>
          <w:rStyle w:val="link"/>
          <w:lang w:val="el" w:eastAsia="el"/>
        </w:rPr>
        <w:t xml:space="preserve"> παραγράφου 6 του άρθρου 8 </w:t>
      </w:r>
      <w:r>
        <w:rPr>
          <w:lang w:val="el" w:eastAsia="el"/>
        </w:rPr>
        <w:t>του Ν.</w:t>
      </w:r>
      <w:r>
        <w:rPr>
          <w:rStyle w:val="link"/>
          <w:lang w:val="el" w:eastAsia="el"/>
        </w:rPr>
        <w:t xml:space="preserve"> 4308/2014 </w:t>
      </w:r>
      <w:r>
        <w:rPr>
          <w:lang w:val="el" w:eastAsia="el"/>
        </w:rPr>
        <w:t>(Ε.Λ.Π.) εκδίδεται από τους Κατόχους Αδείας Κυκλοφορίας (Κ.Α.Κ.) φαρμακευτικών προϊόντων και για τις εκπτώσεις-επιστροφές από τους Κατόχους Αδείας Κυκλοφορίας (Κ.Α.Κ.) προς τους Φορείς Κοινωνικής Ασφάλισης (Φ.Κ.Α.), σύμφωνα με τις διατάξεις της παρ. 3 του άρθρου 35 του ν. 3918/2011, όπως ισχύει».</w:t>
      </w:r>
    </w:p>
    <w:p>
      <w:pPr>
        <w:pStyle w:val="StructureList1"/>
        <w:spacing w:before="120" w:after="0"/>
        <w:rPr>
          <w:lang w:val="el" w:eastAsia="el"/>
        </w:rPr>
      </w:pPr>
      <w:r>
        <w:rPr>
          <w:lang w:val="el" w:eastAsia="el"/>
        </w:rPr>
        <w:t>γ)</w:t>
      </w:r>
      <w:r>
        <w:rPr>
          <w:lang w:val="en" w:eastAsia="en"/>
        </w:rPr>
        <w:tab/>
      </w:r>
      <w:r>
        <w:rPr>
          <w:lang w:val="el" w:eastAsia="el"/>
        </w:rPr>
        <w:t>Το τελευταίο εδάφιο της παρ. 2 του άρθρου μόνου της ΑΓΓΔΕ ΠΟΛ 1115/2016 αντικαθίσταται ως εξής: «Επιπλέον αναγράφεται ως αιτιολογία η φράση: «Επιστροφή- έκπτωση (claw-back) του</w:t>
      </w:r>
      <w:r>
        <w:rPr>
          <w:rStyle w:val="link"/>
          <w:lang w:val="el" w:eastAsia="el"/>
        </w:rPr>
        <w:t xml:space="preserve"> άρθρου 11 </w:t>
      </w:r>
      <w:r>
        <w:rPr>
          <w:lang w:val="el" w:eastAsia="el"/>
        </w:rPr>
        <w:t>του Ν.</w:t>
      </w:r>
      <w:r>
        <w:rPr>
          <w:rStyle w:val="link"/>
          <w:lang w:val="el" w:eastAsia="el"/>
        </w:rPr>
        <w:t xml:space="preserve"> 4052/2012 </w:t>
      </w:r>
      <w:r>
        <w:rPr>
          <w:lang w:val="el" w:eastAsia="el"/>
        </w:rPr>
        <w:t>για έμμεσες πωλήσεις προς τους Φορείς Κοινωνικής Ασφάλισης (Φ.Κ.Α.)» ή «Έκπτωση-επιστροφή (rebate) της παρ. 3 του άρθρου 35 του ν. 3918/2011 για έμμεσες πωλήσεις προς τους Φορείς Κοινωνικής Ασφάλισης (Φ.Κ.Α.)», κατά περίπτωση».</w:t>
      </w:r>
    </w:p>
    <w:p>
      <w:pPr>
        <w:pStyle w:val="MainText"/>
        <w:spacing w:before="120" w:after="0"/>
        <w:rPr>
          <w:lang w:val="el" w:eastAsia="el"/>
        </w:rPr>
      </w:pPr>
      <w:r>
        <w:rPr>
          <w:b/>
          <w:bCs/>
          <w:lang w:val="el" w:eastAsia="el"/>
        </w:rPr>
        <w:t>2.</w:t>
      </w:r>
      <w:r>
        <w:rPr>
          <w:lang w:val="el" w:eastAsia="el"/>
        </w:rPr>
        <w:t xml:space="preserve"> Η παρούσα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Εθνικό Τυπογραφείο (στην ηλεκτρονική διεύθυνση ‘’</w:t>
      </w:r>
      <w:hyperlink r:id="rId7" w:history="1">
        <w:r>
          <w:rPr>
            <w:rStyle w:val="Hyperlink"/>
            <w:color w:val="0000EE"/>
            <w:u w:color="0000EE"/>
            <w:lang w:val="el" w:eastAsia="el"/>
          </w:rPr>
          <w:t>webmaster.et@ et. gr</w:t>
        </w:r>
      </w:hyperlink>
      <w:r>
        <w:rPr>
          <w:lang w:val="el" w:eastAsia="el"/>
        </w:rPr>
        <w:t>‘’) για δημοσίευση της απόφασης</w:t>
      </w:r>
    </w:p>
    <w:p>
      <w:pPr>
        <w:pStyle w:val="MainText"/>
        <w:spacing w:before="120" w:after="0"/>
        <w:rPr>
          <w:lang w:val="el" w:eastAsia="el"/>
        </w:rPr>
      </w:pPr>
      <w:r>
        <w:rPr>
          <w:b/>
          <w:bCs/>
          <w:lang w:val="el" w:eastAsia="el"/>
        </w:rPr>
        <w:t>2.</w:t>
      </w:r>
      <w:r>
        <w:rPr>
          <w:lang w:val="el" w:eastAsia="el"/>
        </w:rPr>
        <w:t xml:space="preserve"> Αποδέκτες πίνακα Β΄</w:t>
      </w:r>
    </w:p>
    <w:p>
      <w:pPr>
        <w:pStyle w:val="MainText"/>
        <w:spacing w:before="120" w:after="0"/>
        <w:rPr>
          <w:lang w:val="el" w:eastAsia="el"/>
        </w:rPr>
      </w:pPr>
      <w:r>
        <w:rPr>
          <w:b/>
          <w:bCs/>
          <w:lang w:val="el" w:eastAsia="el"/>
        </w:rPr>
        <w:t>3.</w:t>
      </w:r>
      <w:r>
        <w:rPr>
          <w:lang w:val="el" w:eastAsia="el"/>
        </w:rPr>
        <w:t xml:space="preserve"> Αποδέκτες πίνακα Γ΄</w:t>
      </w:r>
    </w:p>
    <w:p>
      <w:pPr>
        <w:pStyle w:val="MainText"/>
        <w:spacing w:before="120" w:after="0"/>
        <w:rPr>
          <w:lang w:val="el" w:eastAsia="el"/>
        </w:rPr>
      </w:pPr>
      <w:r>
        <w:rPr>
          <w:b/>
          <w:bCs/>
          <w:lang w:val="el" w:eastAsia="el"/>
        </w:rPr>
        <w:t>4.</w:t>
      </w:r>
      <w:r>
        <w:rPr>
          <w:lang w:val="el" w:eastAsia="el"/>
        </w:rPr>
        <w:t xml:space="preserve"> Αποδέκτες πίνακα ΙΓ΄</w:t>
      </w:r>
    </w:p>
    <w:p>
      <w:pPr>
        <w:pStyle w:val="MainText"/>
        <w:spacing w:before="120" w:after="0"/>
        <w:rPr>
          <w:lang w:val="el" w:eastAsia="el"/>
        </w:rPr>
      </w:pPr>
      <w:r>
        <w:rPr>
          <w:b/>
          <w:bCs/>
          <w:lang w:val="el" w:eastAsia="el"/>
        </w:rPr>
        <w:t>5.</w:t>
      </w:r>
      <w:r>
        <w:rPr>
          <w:lang w:val="el" w:eastAsia="el"/>
        </w:rPr>
        <w:t xml:space="preserve"> Ειδική Γραμματεία Σ.Δ.Ο.Ε.</w:t>
      </w:r>
    </w:p>
    <w:p>
      <w:pPr>
        <w:pStyle w:val="MainText"/>
        <w:spacing w:before="120" w:after="0"/>
        <w:rPr>
          <w:lang w:val="el" w:eastAsia="el"/>
        </w:rPr>
      </w:pPr>
      <w:r>
        <w:rPr>
          <w:b/>
          <w:bCs/>
          <w:lang w:val="el" w:eastAsia="el"/>
        </w:rPr>
        <w:t>6.</w:t>
      </w:r>
      <w:r>
        <w:rPr>
          <w:lang w:val="el" w:eastAsia="el"/>
        </w:rPr>
        <w:t xml:space="preserve"> Δ.ΥΠ.ΗΛ.Υ (για ανάρτηση στην Ηλεκτρονική Βιβλιοθήκη)</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Γραφείο κ. Υπουργού</w:t>
      </w:r>
    </w:p>
    <w:p>
      <w:pPr>
        <w:pStyle w:val="MainText"/>
        <w:spacing w:before="120" w:after="0"/>
        <w:rPr>
          <w:lang w:val="el" w:eastAsia="el"/>
        </w:rPr>
      </w:pPr>
      <w:r>
        <w:rPr>
          <w:b/>
          <w:bCs/>
          <w:lang w:val="el" w:eastAsia="el"/>
        </w:rPr>
        <w:t>2.</w:t>
      </w:r>
      <w:r>
        <w:rPr>
          <w:lang w:val="el" w:eastAsia="el"/>
        </w:rPr>
        <w:t xml:space="preserve"> Γραφείο κ. Υφυπουργού</w:t>
      </w:r>
    </w:p>
    <w:p>
      <w:pPr>
        <w:pStyle w:val="MainText"/>
        <w:spacing w:before="120" w:after="0"/>
        <w:rPr>
          <w:lang w:val="el" w:eastAsia="el"/>
        </w:rPr>
      </w:pPr>
      <w:r>
        <w:rPr>
          <w:b/>
          <w:bCs/>
          <w:lang w:val="el" w:eastAsia="el"/>
        </w:rPr>
        <w:t>3.</w:t>
      </w:r>
      <w:r>
        <w:rPr>
          <w:lang w:val="el" w:eastAsia="el"/>
        </w:rPr>
        <w:t xml:space="preserve"> Γραφείο Τύπου και Δημοσίων Σχέσεων</w:t>
      </w:r>
    </w:p>
    <w:p>
      <w:pPr>
        <w:pStyle w:val="MainText"/>
        <w:spacing w:before="120" w:after="0"/>
        <w:rPr>
          <w:lang w:val="el" w:eastAsia="el"/>
        </w:rPr>
      </w:pPr>
      <w:r>
        <w:rPr>
          <w:b/>
          <w:bCs/>
          <w:lang w:val="el" w:eastAsia="el"/>
        </w:rPr>
        <w:t>4.</w:t>
      </w:r>
      <w:r>
        <w:rPr>
          <w:lang w:val="el" w:eastAsia="el"/>
        </w:rPr>
        <w:t xml:space="preserve"> Οικονομικό Επιμελητήριο Ελλάδας (Πίνακας ΙΒ’)</w:t>
      </w:r>
    </w:p>
    <w:p>
      <w:pPr>
        <w:pStyle w:val="MainText"/>
        <w:spacing w:before="120" w:after="0"/>
        <w:rPr>
          <w:lang w:val="el" w:eastAsia="el"/>
        </w:rPr>
      </w:pPr>
      <w:r>
        <w:rPr>
          <w:b/>
          <w:bCs/>
          <w:lang w:val="el" w:eastAsia="el"/>
        </w:rPr>
        <w:t>5.</w:t>
      </w:r>
      <w:r>
        <w:rPr>
          <w:lang w:val="el" w:eastAsia="el"/>
        </w:rPr>
        <w:t xml:space="preserve"> Περιοδικό Φορολογική Επιθεώρηση (Πίνακας Ζ’)</w:t>
      </w:r>
    </w:p>
    <w:p>
      <w:pPr>
        <w:pStyle w:val="MainText"/>
        <w:spacing w:before="120" w:after="0"/>
        <w:rPr>
          <w:lang w:val="el" w:eastAsia="el"/>
        </w:rPr>
      </w:pPr>
      <w:r>
        <w:rPr>
          <w:b/>
          <w:bCs/>
          <w:lang w:val="el" w:eastAsia="el"/>
        </w:rPr>
        <w:t>6.</w:t>
      </w:r>
      <w:r>
        <w:rPr>
          <w:lang w:val="el" w:eastAsia="el"/>
        </w:rPr>
        <w:t xml:space="preserve"> Π.Ο.Ε.-Δ.Ο.Υ.</w:t>
      </w:r>
    </w:p>
    <w:p>
      <w:pPr>
        <w:pStyle w:val="MainText"/>
        <w:spacing w:before="120" w:after="0"/>
        <w:rPr>
          <w:lang w:val="el" w:eastAsia="el"/>
        </w:rPr>
      </w:pPr>
      <w:r>
        <w:rPr>
          <w:b/>
          <w:bCs/>
          <w:lang w:val="el" w:eastAsia="el"/>
        </w:rPr>
        <w:t>7.</w:t>
      </w:r>
      <w:r>
        <w:rPr>
          <w:lang w:val="el" w:eastAsia="el"/>
        </w:rPr>
        <w:t xml:space="preserve"> Υπουργείο Υγείας (Πίνακας Θ΄)</w:t>
      </w:r>
    </w:p>
    <w:p>
      <w:pPr>
        <w:pStyle w:val="MainText"/>
        <w:spacing w:before="120" w:after="0"/>
        <w:rPr>
          <w:lang w:val="el" w:eastAsia="el"/>
        </w:rPr>
      </w:pPr>
      <w:r>
        <w:rPr>
          <w:b/>
          <w:bCs/>
          <w:lang w:val="el" w:eastAsia="el"/>
        </w:rPr>
        <w:t>8.</w:t>
      </w:r>
      <w:r>
        <w:rPr>
          <w:lang w:val="el" w:eastAsia="el"/>
        </w:rPr>
        <w:t xml:space="preserve"> Εθνικός Οργανισμός Φαρμάκων (Πίνακας ΙΘ΄)</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Γραφείο κ.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Γραφεία κ.κ. Γενικών Δ/ντων</w:t>
      </w:r>
    </w:p>
    <w:p>
      <w:pPr>
        <w:pStyle w:val="MainText"/>
        <w:spacing w:before="120" w:after="0"/>
        <w:rPr>
          <w:lang w:val="el" w:eastAsia="el"/>
        </w:rPr>
      </w:pPr>
      <w:r>
        <w:rPr>
          <w:b/>
          <w:bCs/>
          <w:lang w:val="el" w:eastAsia="el"/>
        </w:rPr>
        <w:t>3.</w:t>
      </w:r>
      <w:r>
        <w:rPr>
          <w:lang w:val="el" w:eastAsia="el"/>
        </w:rPr>
        <w:t xml:space="preserve"> Δ/νση Νομικής Υποστήριξης</w:t>
      </w:r>
    </w:p>
    <w:p>
      <w:pPr>
        <w:pStyle w:val="MainText"/>
        <w:spacing w:before="120" w:after="0"/>
        <w:rPr>
          <w:lang w:val="el" w:eastAsia="el"/>
        </w:rPr>
      </w:pPr>
      <w:r>
        <w:rPr>
          <w:b/>
          <w:bCs/>
          <w:lang w:val="el" w:eastAsia="el"/>
        </w:rPr>
        <w:t>4.</w:t>
      </w:r>
      <w:r>
        <w:rPr>
          <w:lang w:val="el" w:eastAsia="el"/>
        </w:rPr>
        <w:t xml:space="preserve"> Διεύθυνση Εφαρμογής Άμεσης Φορολογίας – Τμήμα Δ΄</w:t>
      </w:r>
    </w:p>
    <w:p>
      <w:pPr>
        <w:pStyle w:val="MainText"/>
        <w:spacing w:before="120" w:after="0"/>
        <w:rPr>
          <w:lang w:val="el" w:eastAsia="el"/>
        </w:rPr>
      </w:pPr>
      <w:r>
        <w:rPr>
          <w:b/>
          <w:bCs/>
          <w:lang w:val="el" w:eastAsia="el"/>
        </w:rPr>
        <w:t>5.</w:t>
      </w:r>
      <w:r>
        <w:rPr>
          <w:lang w:val="el" w:eastAsia="el"/>
        </w:rPr>
        <w:t xml:space="preserve"> Διεύθυνση Εφαρμογής Έμμεσης Φορολογίας-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7@mofadm.gr" TargetMode="External" /><Relationship Id="rId5" Type="http://schemas.openxmlformats.org/officeDocument/2006/relationships/hyperlink" Target="mailto:dfpa.a1@1992.syzefxis.gov.gr" TargetMode="External" /><Relationship Id="rId6" Type="http://schemas.openxmlformats.org/officeDocument/2006/relationships/hyperlink" Target="http://www.aade.gr/" TargetMode="External" /><Relationship Id="rId7" Type="http://schemas.openxmlformats.org/officeDocument/2006/relationships/hyperlink" Target="mailto:webmaster.et@et.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