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r>
        <w:rPr>
          <w:lang w:val="el" w:eastAsia="el"/>
        </w:rPr>
        <w:t xml:space="preserve">: </w:t>
      </w:r>
      <w:r>
        <w:rPr>
          <w:b/>
          <w:bCs/>
          <w:lang w:val="el" w:eastAsia="el"/>
        </w:rPr>
        <w:t>ΩΚΦΞ46</w:t>
      </w:r>
    </w:p>
    <w:p>
      <w:pPr>
        <w:pStyle w:val="Title"/>
        <w:spacing w:before="120" w:after="360"/>
        <w:rPr>
          <w:lang w:val="el" w:eastAsia="el"/>
        </w:rPr>
      </w:pPr>
      <w:r>
        <w:rPr>
          <w:b/>
          <w:bCs/>
          <w:lang w:val="el" w:eastAsia="el"/>
        </w:rPr>
        <w:t>ΦΕΚ: 948 Β/20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ν.4172/2013».</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 του άρθρου 6 και της παραγράφου 2 του άρθρου 18 του ν.4174/2013 (ΦΕΚ 170Α’/ 26.07.2013),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και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21 του ν.4172/2013 (ΦΕΚ 167 Α'/23.07.2013).</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61, της περίπτωσης δ’ της παραγράφου 1 του άρθρου 62, της περίπτωσης δ’ της παραγράφου 1, των παραγράφων 6 και 7 του άρθρου 64 καθώς και των περιπτώσεων α’ και γ’ της παραγράφου 5 του άρθρου 69 του ν. 4172/2013,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31 και 34 του ν.4174/2013.</w:t>
      </w:r>
    </w:p>
    <w:p>
      <w:pPr>
        <w:pStyle w:val="PreambelText"/>
        <w:spacing w:before="240" w:after="240"/>
        <w:rPr>
          <w:lang w:val="el" w:eastAsia="el"/>
        </w:rPr>
      </w:pPr>
      <w:r>
        <w:rPr>
          <w:b/>
          <w:bCs/>
          <w:lang w:val="el" w:eastAsia="el"/>
        </w:rPr>
        <w:t>2. Την ΠΟΛ.1048/2014 Απόφαση του Γενικού Γραμματέα Δημοσίων Εσόδων (ΦΕΚ 417Β/11-2-2014 και 775Β/28-3-2014 ) και την ΠΟΛ.1031/2014 Απόφαση του Γενικού Γραμματέα Δημοσίων Εσόδων (ΦΕΚ Β 261Β/24-1- 2014).</w:t>
      </w:r>
    </w:p>
    <w:p>
      <w:pPr>
        <w:pStyle w:val="PreambelText"/>
        <w:spacing w:before="240" w:after="240"/>
        <w:rPr>
          <w:lang w:val="el" w:eastAsia="el"/>
        </w:rPr>
      </w:pPr>
      <w:r>
        <w:rPr>
          <w:b/>
          <w:bCs/>
          <w:lang w:val="el" w:eastAsia="el"/>
        </w:rPr>
        <w:t>3. Τις διατάξεις του Κεφαλαίου Α΄ «Σύσταση Ανεξάρτητης Αρχής Δημοσίων Εσόδων» του ν.4389/2016 (ΦΕΚ 94Α΄) και ειδικότερα του άρθρου 7, της παραγράφου 1 του άρθρου 14 και του άρθρου 41 αυτού, όπως ισχύουν.</w:t>
      </w:r>
    </w:p>
    <w:p>
      <w:pPr>
        <w:pStyle w:val="PreambelText"/>
        <w:spacing w:before="240" w:after="240"/>
        <w:rPr>
          <w:lang w:val="el" w:eastAsia="el"/>
        </w:rPr>
      </w:pPr>
      <w:r>
        <w:rPr>
          <w:b/>
          <w:bCs/>
          <w:lang w:val="el" w:eastAsia="el"/>
        </w:rPr>
        <w:t>4. Την αριθ. Δ. ΟΡΓ. Α 1036960 ΕΞ 2017/10.3.2017 (ΦΕΚ 968Β΄)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b/>
          <w:bCs/>
          <w:lang w:val="el" w:eastAsia="el"/>
        </w:rPr>
        <w:t>5. Την αριθ. Δ6Α 1015213 ΕΞ 2013/28.1.2013 (ΦΕΚ 130 και 372Β΄)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6. Την αριθ. 1 της 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w:t>
      </w:r>
    </w:p>
    <w:p>
      <w:pPr>
        <w:pStyle w:val="PreambelText"/>
        <w:spacing w:before="240" w:after="240"/>
        <w:rPr>
          <w:lang w:val="el" w:eastAsia="el"/>
        </w:rPr>
      </w:pPr>
      <w:r>
        <w:rPr>
          <w:b/>
          <w:bCs/>
          <w:lang w:val="el" w:eastAsia="el"/>
        </w:rPr>
        <w:t>7. Την απόφαση του Υπουργού Οικονομικών 1085832/3312/0014/26.7.1989 για το χρόνο απόδοσης του τέλους χαρτοσήμου, που οφείλεται στις αμοιβές τρίτων.</w:t>
      </w:r>
    </w:p>
    <w:p>
      <w:pPr>
        <w:pStyle w:val="PreambelText"/>
        <w:spacing w:before="240" w:after="240"/>
        <w:rPr>
          <w:lang w:val="el" w:eastAsia="el"/>
        </w:rPr>
      </w:pPr>
      <w:r>
        <w:rPr>
          <w:b/>
          <w:bCs/>
          <w:lang w:val="el" w:eastAsia="el"/>
        </w:rPr>
        <w:t>8.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επιχειρηματική δραστηριότητα από τους καταβάλλοντες τα παραπάνω εισοδήματα.</w:t>
      </w:r>
    </w:p>
    <w:p>
      <w:pPr>
        <w:pStyle w:val="PreambelText"/>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p>
    <w:p>
      <w:pPr>
        <w:pStyle w:val="PreambelText"/>
        <w:spacing w:before="240" w:after="240"/>
        <w:rPr>
          <w:lang w:val="el" w:eastAsia="el"/>
        </w:rPr>
      </w:pPr>
      <w:r>
        <w:rPr>
          <w:b/>
          <w:bCs/>
          <w:lang w:val="el" w:eastAsia="el"/>
        </w:rPr>
        <w:t>Τρόπος υποβολής της δήλωσης και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ν.4172/2013</w:t>
      </w:r>
    </w:p>
    <w:p>
      <w:pPr>
        <w:pStyle w:val="PreambelText"/>
        <w:spacing w:before="240" w:after="240"/>
        <w:rPr>
          <w:lang w:val="el" w:eastAsia="el"/>
        </w:rPr>
      </w:pPr>
      <w:r>
        <w:rPr>
          <w:b/>
          <w:bCs/>
          <w:lang w:val="el" w:eastAsia="el"/>
        </w:rPr>
        <w:t>1. Οι αρχικές εμπρόθεσμες και εκπρόθεσμες, καθώς και οι τροποποιητικές δηλώσεις απόδοσης παρακρατούμενου φόρου και του αναλογούντος τέλους χαρτοσήμου κατά περίπτωση, στις αμοιβές για συμβουλευτικές υπηρεσίες και άλλες αμοιβές για παρόμοιες υπηρεσίες της περίπτωσης δ’ της παραγράφου 1 του άρθρου 62, στις αμοιβές δικηγόρων της περίπτωσης α’ και μερισμάτων της περίπτωσης γ’ της παραγράφου 5 του άρθρου 69 του ν.4172/2013 που αποκτώνται από την 1 Ιανουαρίου 2019 και εφεξής, υποβάλλονται αποκλειστικά μέσω TAXISnet. Οι μηδενικές δηλώσεις για τις οποίες εκ του νόμου δεν προκύπτει φόρος ή τέλος χαρτοσήμου προς απόδοση υποβάλλονται προαιρετικά.</w:t>
      </w:r>
    </w:p>
    <w:p>
      <w:pPr>
        <w:pStyle w:val="PreambelText"/>
        <w:spacing w:before="240" w:after="240"/>
        <w:rPr>
          <w:lang w:val="el" w:eastAsia="el"/>
        </w:rPr>
      </w:pPr>
      <w:r>
        <w:rPr>
          <w:b/>
          <w:bCs/>
          <w:lang w:val="el" w:eastAsia="el"/>
        </w:rPr>
        <w:t>2. Οι υπόχρεοι, εφόσον είναι νέοι χρήστες εγγράφονται στις ηλεκτρονικές υπηρεσίες TaxisNet σύμφωνα με όσα ορίζονται με την με αριθμό ΠΟΛ.1178/7.12.2010, ΑΔΑ41ΦΜΗ-ΤΛ (ΦΕΚΒ΄/9.12.10) Απόφαση του Υπουργού Οικονομικών. Η διαδικασία αυτή δεν απαιτείται για τους ήδη πιστοποιημένους χρήστες</w:t>
      </w:r>
      <w:r>
        <w:rPr>
          <w:b/>
          <w:bCs/>
          <w:lang w:val="el" w:eastAsia="el"/>
        </w:rPr>
        <w:t>.</w:t>
      </w:r>
    </w:p>
    <w:p>
      <w:pPr>
        <w:pStyle w:val="PreambelText"/>
        <w:spacing w:before="240" w:after="240"/>
        <w:rPr>
          <w:lang w:val="el" w:eastAsia="el"/>
        </w:rPr>
      </w:pPr>
      <w:r>
        <w:rPr>
          <w:b/>
          <w:bCs/>
          <w:lang w:val="el" w:eastAsia="el"/>
        </w:rPr>
        <w:t>3. Ως χρόνος υποβολής της δήλωσης απόδοσης παρακρατούμενου φόρου με τη χρήση ηλεκτρονικής μεθόδου, θεωρείται ο χρόνος οριστικοποίησης αυτής από τον υπόχρεο σε παρακράτηση.</w:t>
      </w:r>
    </w:p>
    <w:p>
      <w:pPr>
        <w:pStyle w:val="PreambelText"/>
        <w:spacing w:before="240" w:after="240"/>
        <w:rPr>
          <w:lang w:val="el" w:eastAsia="el"/>
        </w:rPr>
      </w:pPr>
      <w:r>
        <w:rPr>
          <w:b/>
          <w:bCs/>
          <w:lang w:val="el" w:eastAsia="el"/>
        </w:rPr>
        <w:t>4. Με την υποβολή της δήλωσης γίνεται άμεσος προσδιορισμός του φόρου και εκδίδεται «Ταυτότητα Οφειλής» με βάση την οποία θα καταβάλλεται ο φόρος μέσω πιστωτικών ιδρυμάτων το αργότερο μέχρι το τέλος του δεύτερου μήνα από την ημερομηνία καταβολής της υποκείμενης σε παρακράτηση πληρωμής ή εκδίδεται τίτλος έκπτωσης σε περίπτωση τροποποιητικής δήλωσης από την οποία προκύπτει μικρότερο χρεωστικό ποσό από αυτό της προηγούμενης δήλωσης.</w:t>
      </w:r>
    </w:p>
    <w:p>
      <w:pPr>
        <w:pStyle w:val="PreambelText"/>
        <w:spacing w:before="240" w:after="240"/>
        <w:rPr>
          <w:lang w:val="el" w:eastAsia="el"/>
        </w:rPr>
      </w:pPr>
      <w:r>
        <w:rPr>
          <w:b/>
          <w:bCs/>
          <w:lang w:val="el" w:eastAsia="el"/>
        </w:rPr>
        <w:t>5. Οι διαχειριστές πάγιας προκαταβολής, οι υπόλογοι χρηματικών ενταλμάτων του δημοσίου γενικά και οι διαχειριστές χρηματικού που παρακρατούν φόρο στις αμοιβές διοίκησης, αμοιβές για συμβουλευτικές υπηρεσίες και άλλες αμοιβές για παρόμοιες υπηρεσίες σύμφωνα με τις διατάξεις της περίπτωσης δ΄ της</w:t>
      </w:r>
      <w:r>
        <w:rPr>
          <w:rStyle w:val="link"/>
          <w:b/>
          <w:bCs/>
          <w:lang w:val="el" w:eastAsia="el"/>
        </w:rPr>
        <w:t xml:space="preserve"> παραγράφου 1 του άρθρου 64 </w:t>
      </w:r>
      <w:r>
        <w:rPr>
          <w:b/>
          <w:bCs/>
          <w:lang w:val="el" w:eastAsia="el"/>
        </w:rPr>
        <w:t>του ν</w:t>
      </w:r>
      <w:r>
        <w:rPr>
          <w:rStyle w:val="link"/>
          <w:b/>
          <w:bCs/>
          <w:lang w:val="el" w:eastAsia="el"/>
        </w:rPr>
        <w:t xml:space="preserve">.4172/2013 </w:t>
      </w:r>
      <w:r>
        <w:rPr>
          <w:b/>
          <w:bCs/>
          <w:lang w:val="el" w:eastAsia="el"/>
        </w:rPr>
        <w:t>και δεν δύνανται να αποδώσουν τον παρακρατηθέντα φόρο μέσω του κεντρικού τους φορέα υποβάλλουν προσωρινή δήλωση στην Δ.Ο.Υ. της περιφέρειάς τους από όπου εκδίδεται η ταυτότητα οφειλής και ο φόρος αποδίδεται μέσω των πιστωτικών ιδρυμάτων. Όσοι από τους ανωτέρω υπόχρεους δύνανται να αποδίδουν τον φόρο μέσω του κεντρικού τους φορέα, η υποβολή της προσωρινής δήλωσης γίνεται με τη χρήση ηλεκτρονικής μεθόδου επικοινωνίας μέσω TAXISnet.</w:t>
      </w:r>
    </w:p>
    <w:p>
      <w:pPr>
        <w:pStyle w:val="PreambelText"/>
        <w:spacing w:before="240" w:after="240"/>
        <w:rPr>
          <w:lang w:val="el" w:eastAsia="el"/>
        </w:rPr>
      </w:pPr>
      <w:r>
        <w:rPr>
          <w:b/>
          <w:bCs/>
          <w:lang w:val="el" w:eastAsia="el"/>
        </w:rPr>
        <w:t>6. Σε περίπτωση αποδεδειγμένης τεχνικής αδυναμίας υποβολής της δήλωσης απόδοσης παρακρατούμενου φόρου, κατά την καταληκτική ημερομηνία αυτής, οι αρμόδιες Δ.Ο.Υ. των υπόχρεων σε παρακράτηση θα ενημερώνονται από τη ΔΗΛΕΔ.</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Χρόνος καταβολής της υποκείμενης σε παρακράτηση πληρωμής</w:t>
      </w:r>
    </w:p>
    <w:p>
      <w:pPr>
        <w:pStyle w:val="MainText"/>
        <w:spacing w:before="120" w:after="0"/>
        <w:rPr>
          <w:lang w:val="el" w:eastAsia="el"/>
        </w:rPr>
      </w:pPr>
      <w:r>
        <w:rPr>
          <w:b/>
          <w:bCs/>
          <w:lang w:val="el" w:eastAsia="el"/>
        </w:rPr>
        <w:t>1.</w:t>
      </w:r>
      <w:r>
        <w:rPr>
          <w:b/>
          <w:bCs/>
          <w:lang w:val="el" w:eastAsia="el"/>
        </w:rPr>
        <w:t xml:space="preserve"> Ως «καταβολή της υποκείμενης σε παρακράτηση πληρωμής» νοείται και η πίστωση των δικαιούχων με τα εισοδήματα των περιπτώσεων δ’ παραγράφου 1 του άρθρου 62 του ν. 4172/2013 και των περιπτώσεων α’ και γ΄ της παραγράφου 5 του άρθρου 69 του ν.4172/2013.</w:t>
      </w:r>
    </w:p>
    <w:p>
      <w:pPr>
        <w:pStyle w:val="MainText"/>
        <w:spacing w:before="120" w:after="0"/>
        <w:rPr>
          <w:lang w:val="el" w:eastAsia="el"/>
        </w:rPr>
      </w:pPr>
      <w:r>
        <w:rPr>
          <w:b/>
          <w:bCs/>
          <w:lang w:val="el" w:eastAsia="el"/>
        </w:rPr>
        <w:t>2.</w:t>
      </w:r>
      <w:r>
        <w:rPr>
          <w:b/>
          <w:bCs/>
          <w:lang w:val="el" w:eastAsia="el"/>
        </w:rPr>
        <w:t xml:space="preserve"> Η δήλωση απόδοσης παρακρατούμενου φόρου, σύμφωνα με τα οριζόμενα της παραγράφου 1 του άρθρου 1 της παρούσας, υποβάλλεται από τους υπόχρεους μέχρι το τέλος του δεύτερου μήνα από την καταβολή ή την πίστωση των ποσών των σχετικών εισοδημάτων. Σε περίπτωση μη υποβολής ή εκπρόθεσμης υποβολής της δήλωσης, καθώς και μη καταβολής ή εκπρόθεσμης καταβολής του βεβαιωθέντος φόρου επιβάλλονται οι κυρώσεις που προβλέπονται από τις διατάξεις του ν.</w:t>
      </w:r>
      <w:r>
        <w:rPr>
          <w:rStyle w:val="link"/>
          <w:b/>
          <w:bCs/>
          <w:lang w:val="el" w:eastAsia="el"/>
        </w:rPr>
        <w:t xml:space="preserve"> 4174/2013</w:t>
      </w:r>
      <w:r>
        <w:rPr>
          <w:b/>
          <w:bCs/>
          <w:lang w:val="el" w:eastAsia="el"/>
        </w:rPr>
        <w:t>.</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Τύπος και περιεχόμενο των δηλώσεων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ν.4172/2013</w:t>
      </w:r>
    </w:p>
    <w:p>
      <w:pPr>
        <w:pStyle w:val="MainText"/>
        <w:spacing w:before="120" w:after="0"/>
        <w:rPr>
          <w:lang w:val="el" w:eastAsia="el"/>
        </w:rPr>
      </w:pPr>
      <w:r>
        <w:rPr>
          <w:b/>
          <w:bCs/>
          <w:lang w:val="el" w:eastAsia="el"/>
        </w:rPr>
        <w:t>1.</w:t>
      </w:r>
      <w:r>
        <w:rPr>
          <w:b/>
          <w:bCs/>
          <w:lang w:val="el" w:eastAsia="el"/>
        </w:rPr>
        <w:t xml:space="preserve"> Ο τύπος και το περιεχόμενο των δηλώσεων απόδοσης παρακρατούμενου φόρου στις αμοιβές για συμβουλευτικές υπηρεσίες και άλλες αμοιβές για παρόμοιες υπηρεσίες της περίπτωσης δ’ της παραγράφου 1 του άρθρου 62 καθώς και στις αμοιβές δικηγόρων της περίπτωσης α’ και μερισμάτων της περίπτωσης γ’ της παραγράφου 5 του άρθρου 69 του ν.4172/2013, έχει ως τα συνημμένα υποδείγματα, τα οποία επισυνάπτονται ως παραρτήματα Α1 και Α2 της παρούσας αντίστοιχα.</w:t>
      </w:r>
    </w:p>
    <w:p>
      <w:pPr>
        <w:pStyle w:val="MainText"/>
        <w:spacing w:before="120" w:after="0"/>
        <w:rPr>
          <w:lang w:val="el" w:eastAsia="el"/>
        </w:rPr>
      </w:pPr>
      <w:r>
        <w:rPr>
          <w:b/>
          <w:bCs/>
          <w:lang w:val="el" w:eastAsia="el"/>
        </w:rPr>
        <w:t>2.</w:t>
      </w:r>
      <w:r>
        <w:rPr>
          <w:b/>
          <w:bCs/>
          <w:lang w:val="el" w:eastAsia="el"/>
        </w:rPr>
        <w:t xml:space="preserve"> Οι υπόχρεοι καταχωρούν αναλυτικά τα στοιχεία ανά ΑΦΜ δικαιούχου και σύμφωνα με τον Πίνακα Κωδικοποίησης που επισυνάπτεται ως παραρτήματα Β1 και Β της παρούσας.</w:t>
      </w:r>
    </w:p>
    <w:p>
      <w:pPr>
        <w:pStyle w:val="MainText"/>
        <w:spacing w:before="120" w:after="0"/>
        <w:rPr>
          <w:lang w:val="el" w:eastAsia="el"/>
        </w:rPr>
      </w:pPr>
      <w:r>
        <w:rPr>
          <w:b/>
          <w:bCs/>
          <w:lang w:val="el" w:eastAsia="el"/>
        </w:rPr>
        <w:t>3.</w:t>
      </w:r>
      <w:r>
        <w:rPr>
          <w:b/>
          <w:bCs/>
          <w:lang w:val="el" w:eastAsia="el"/>
        </w:rPr>
        <w:t xml:space="preserve"> Στις περιπτώσεις που οι υπόχρεοι σε υποβολή δήλωσης παρακρατούμενου φόρου, για τις αμοιβές με τον κωδικό 97 του παραρτήματος Β, διαβιβάζουν, στη Διεύθυνση Ηλεκτρονικής Διακυβέρνησης της Α.Α.Δ.Ε., καταστάσεις σε ηλεκτρονικό αρχείο, με βάση τα οριζόμενα στην Απόφαση Α.1009/2019, όπως ισχύει, υποβάλλουν τη δήλωση ηλεκτρονικά μέσω TAXISnet, χωρίς να υποβάλλουν εκ νέου τις αναλυτικές εγγραφές.</w:t>
      </w:r>
    </w:p>
    <w:p>
      <w:pPr>
        <w:pStyle w:val="MainText"/>
        <w:spacing w:before="120" w:after="0"/>
        <w:rPr>
          <w:lang w:val="el" w:eastAsia="el"/>
        </w:rPr>
      </w:pPr>
      <w:r>
        <w:rPr>
          <w:b/>
          <w:bCs/>
          <w:lang w:val="el" w:eastAsia="el"/>
        </w:rPr>
        <w:t>4.</w:t>
      </w:r>
      <w:r>
        <w:rPr>
          <w:b/>
          <w:bCs/>
          <w:lang w:val="el" w:eastAsia="el"/>
        </w:rPr>
        <w:t xml:space="preserve"> Ως «χρόνος παρακράτησης» για τη συμπλήρωση των δηλώσεων απόδοσης παρακρατούμενου φόρου στις αμοιβές για συμβουλευτικές υπηρεσίες και άλλες αμοιβές για παρόμοιες υπηρεσίες νοείται ο οριζόμενος στο άρθρο 2 χρόνος καταβολής ή πίστωσης της υποκείμενης σε παρακράτηση πληρωμής.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αμέσως μετά την οριστική υποβολή των δηλώσεων απόδοσης παρακρατούμενου φόρου,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απόδοσης παρακρατούμενου φόρου.</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πληρωμές που αφορούν εισοδήματα που αποκτώνται από την 1η Ιανουαρίου 2019 και μετά. Στις τροποποιητικές δηλώσεις απόδοσης παρακρατούμενων φόρων που υποβάλλονται μέχρι 31.12.2019 και αφορούν τις αναλυτικές εγγραφές που δεν είχαν συμπεριληφθεί στις αρχικές δηλώσεις που είχαν υποβληθεί εμπρόθεσμα σύμφωνα με τις ΠΟΛ.1048/2014 και ΠΟΛ.1031/2014 Αποφάσεις ΓΓΔΕ δεν επιβάλλονται τα πρόστιμα και ο τόκος του Κ.Φ.Δ.</w:t>
      </w:r>
    </w:p>
    <w:p>
      <w:pPr>
        <w:pStyle w:val="MainText"/>
        <w:spacing w:before="120" w:after="0"/>
        <w:rPr>
          <w:lang w:val="el" w:eastAsia="el"/>
        </w:rPr>
      </w:pPr>
      <w:r>
        <w:rPr>
          <w:b/>
          <w:bCs/>
          <w:lang w:val="el" w:eastAsia="el"/>
        </w:rPr>
        <w:t>2.</w:t>
      </w:r>
      <w:r>
        <w:rPr>
          <w:b/>
          <w:bCs/>
          <w:lang w:val="el" w:eastAsia="el"/>
        </w:rPr>
        <w:t xml:space="preserve"> Οι Αποφάσεις ΠΟΛ.1048/2014 και ΠΟΛ.1031/2014 καταργούνται από την έναρξη ισχύος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 xml:space="preserve">ΣΥΝΗΜΜΕΝΑ: Τα παραρτήματα Α1, Α2, Β1 και Β της παρούσας.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(με συνημμένα τέσσερα (4)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