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Α.1152</w:t>
      </w:r>
    </w:p>
    <w:p>
      <w:pPr>
        <w:pStyle w:val="PreambelText"/>
        <w:spacing w:before="240" w:after="240"/>
        <w:rPr>
          <w:lang w:val="el" w:eastAsia="el"/>
        </w:rPr>
      </w:pPr>
      <w:r>
        <w:rPr>
          <w:b/>
          <w:bCs/>
          <w:lang w:val="el" w:eastAsia="el"/>
        </w:rPr>
        <w:t>Τροποποίηση της αριθμ. Φ.906/440/07 (ΦΕΚ 1237 Β’) ΑΥΟΟ «Όροι και διατυπώσεις παραλαβής φορτηγών αυτοκινήτων και βάσεων αυτών προκειμένου να διασκευαστούν σε οχήματα των δασμολογικών κλάσεων 87.02, 87.04 και 87.05».</w:t>
      </w:r>
    </w:p>
    <w:p>
      <w:pPr>
        <w:pStyle w:val="PreambelText"/>
        <w:spacing w:before="240" w:after="24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8 του άρθρου 123 του ν. 2960/2001 (ΦΕΚ 265/Α’/22.11.2001), όπως τροποποιήθηκαν και ισχύουν, σύμφωνα με τις οποίες αναστέλλεται η βεβαίωση του τέλους ταξινόμησης που αναλογεί με τα οριζόμενα στην παράγραφο 1 του ανωτέρω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σε οχήματα των δασμολογικών κλάσεων 87.02, 87.04 και 87.05 της Συνδυασμένης Ονοματολογίας και με τις οποίες εξουσιοδοτείται ο Υπουργός Οικονομίας και Οικονομικών να καθορίσει τους όρους και τις διατυπώσεις για την εφαρμογή των διατάξεων αυτών.</w:t>
      </w:r>
    </w:p>
    <w:p>
      <w:pPr>
        <w:pStyle w:val="PreambelText"/>
        <w:spacing w:before="240" w:after="240"/>
        <w:rPr>
          <w:lang w:val="el" w:eastAsia="el"/>
        </w:rPr>
      </w:pPr>
      <w:r>
        <w:rPr>
          <w:lang w:val="el" w:eastAsia="el"/>
        </w:rPr>
        <w:t>2. Των άρθρων 120, 123 , 128, 129, και 130 του ν. 2960/2001, όπως τροποποιήθηκαν και ισχύουν.</w:t>
      </w:r>
    </w:p>
    <w:p>
      <w:pPr>
        <w:pStyle w:val="PreambelText"/>
        <w:spacing w:before="240" w:after="240"/>
        <w:rPr>
          <w:lang w:val="el" w:eastAsia="el"/>
        </w:rPr>
      </w:pPr>
      <w:r>
        <w:rPr>
          <w:lang w:val="el" w:eastAsia="el"/>
        </w:rPr>
        <w:t>3. Το άρθρο 2 της αριθμ. Φ.906/440/07 (Β’ 1237) Α.Υ.Ο.Ο. όπως τροποποιήθηκε και ισχύει με την αριθμ. 5012952/2467/09 (ΦΕΚ 716 Β’) Α.Υ.Ο.Ο..</w:t>
      </w:r>
    </w:p>
    <w:p>
      <w:pPr>
        <w:pStyle w:val="PreambelText"/>
        <w:spacing w:before="240" w:after="240"/>
        <w:rPr>
          <w:lang w:val="el" w:eastAsia="el"/>
        </w:rPr>
      </w:pPr>
      <w:r>
        <w:rPr>
          <w:lang w:val="el" w:eastAsia="el"/>
        </w:rPr>
        <w:t>4. Τις διατάξεις της παραγράφου 2 του άρθρου 90 του Κώδικα Νομοθεσίας για την Κυβέρνηση και τα Κυβερνητικά Όργανα, ο οποίος κυρώθηκε με το άρθρο πρώτο του π.δ/τος 63/2005 «Κωδικοποίηση της νομοθεσίας για την Κυβέρνηση και τα Κυβερνητικά Όργανα» (ΦΕΚ 98 Α’).</w:t>
      </w:r>
    </w:p>
    <w:p>
      <w:pPr>
        <w:pStyle w:val="PreambelText"/>
        <w:spacing w:before="240" w:after="240"/>
        <w:rPr>
          <w:lang w:val="el" w:eastAsia="el"/>
        </w:rPr>
      </w:pPr>
      <w:r>
        <w:rPr>
          <w:lang w:val="el" w:eastAsia="el"/>
        </w:rPr>
        <w:t>5. Τις διατάξεις του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6. Το π.δ. 111/2014 «Οργανισμός του Υπουργείου Οικονομικών» (ΦΕΚ 178 Α’ και ΦΕΚ 25/2015 Α’ για διόρθωση σφάλματος).</w:t>
      </w:r>
    </w:p>
    <w:p>
      <w:pPr>
        <w:pStyle w:val="PreambelText"/>
        <w:spacing w:before="240" w:after="240"/>
        <w:rPr>
          <w:lang w:val="el" w:eastAsia="el"/>
        </w:rPr>
      </w:pPr>
      <w:r>
        <w:rPr>
          <w:lang w:val="el" w:eastAsia="el"/>
        </w:rPr>
        <w:t>7. Τις διατάξεις του Κεφαλαίου Α’ του ν. 4389/2016 (ΦΕΚ 94 Α’) «Επείγουσες διατάξεις για την εφαρμογή της συμφωνίας δημοσιονομικών στόχων και διαρθρωτικών μεταρρυθμίσεων και άλλες διατάξεις» περί σύστασης Ανεξάρτητης Αρχής Δημοσίων Εσόδων.</w:t>
      </w:r>
    </w:p>
    <w:p>
      <w:pPr>
        <w:pStyle w:val="PreambelText"/>
        <w:spacing w:before="240" w:after="240"/>
        <w:rPr>
          <w:lang w:val="el" w:eastAsia="el"/>
        </w:rPr>
      </w:pPr>
      <w:r>
        <w:rPr>
          <w:lang w:val="el" w:eastAsia="el"/>
        </w:rPr>
        <w:t>8. Την αριθμ. ΥΠΟΙΚ 0010218 ΕΞ 2016 (ΦΕΚ 3696 Β’) απόφαση του Πρωθυπουργού και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9. Την ανάγκη επανακαθορισμού του χρονικού διαστήματος διασκευής και για τις περιπτώσεις διασκευής σε οχήματα της δασμολογικής κλάσης 87.04.</w:t>
      </w:r>
    </w:p>
    <w:p>
      <w:pPr>
        <w:pStyle w:val="PreambelText"/>
        <w:spacing w:before="240" w:after="240"/>
        <w:rPr>
          <w:lang w:val="el" w:eastAsia="el"/>
        </w:rPr>
      </w:pPr>
      <w:r>
        <w:rPr>
          <w:lang w:val="el" w:eastAsia="el"/>
        </w:rPr>
        <w:t>10. Το γεγονός ότι από τις διατάξεις της παρούσας δεν προκύπτει δαπάνη σε βάρος του κρατικού προϋπολογισμού, αποφασίζει:</w:t>
      </w:r>
    </w:p>
    <w:p>
      <w:pPr>
        <w:pStyle w:val="PreambelText"/>
        <w:spacing w:before="240" w:after="240"/>
        <w:rPr>
          <w:lang w:val="el" w:eastAsia="el"/>
        </w:rPr>
      </w:pPr>
      <w:r>
        <w:rPr>
          <w:lang w:val="el" w:eastAsia="el"/>
        </w:rPr>
        <w:t>Τροποποιούμε την αριθμ. Φ.906/440/07 (Β’ 1237) Α.Υ.Ο.Ο. «Όροι και διατυπώσεις παραλαβής φορτηγών αυτοκινήτων και βάσεων αυτών προκειμένου να διασκευαστούν σε οχήματα των δασμολογικών κλάσεων 87.02, 87.04 και 87.05», όπως ισχύει,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Αντικαθιστούμε το δεύτερο και τρίτο εδάφιο του άρθρου 2 της αριθμ. Φ. 906/440/07 (Β’ 1237) Α.Υ.Ο.Ο., όπως τροποποιήθηκε και ισχύει, ως εξής:</w:t>
      </w:r>
    </w:p>
    <w:p>
      <w:pPr>
        <w:spacing w:before="240" w:after="240"/>
        <w:rPr>
          <w:lang w:val="el" w:eastAsia="el"/>
        </w:rPr>
      </w:pPr>
      <w:r>
        <w:rPr>
          <w:lang w:val="el" w:eastAsia="el"/>
        </w:rPr>
        <w:t>«Το χρονικό διάστημα διασκευής, δεν μπορεί σε καμία περίπτωση να υπερβεί, για τις περιπτώσεις διασκευής σε οχήματα των δασμολογικών κλάσεων 87.02, 87.04 και 87.05 τους οκτώ (8) μήνες από την παραλαβή. Το ανωτέρω χρονικό διάστημα δύναται να παραταθεί για δύο (2) ακόμη μήνες, εφόσον αυτό δικαιολογείται από τις περιστάσεις.».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την ημερομηνία δημοσίευσης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Απριλίου 2019</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Ι</w:t>
      </w:r>
    </w:p>
    <w:p>
      <w:pPr>
        <w:spacing w:before="240" w:after="240"/>
        <w:rPr>
          <w:lang w:val="el" w:eastAsia="el"/>
        </w:rPr>
      </w:pPr>
      <w:r>
        <w:rPr>
          <w:lang w:val="el" w:eastAsia="el"/>
        </w:rPr>
        <w:t>(3)</w:t>
      </w:r>
    </w:p>
    <w:p>
      <w:pPr>
        <w:spacing w:before="240" w:after="240"/>
        <w:rPr>
          <w:lang w:val="el" w:eastAsia="el"/>
        </w:rPr>
      </w:pPr>
      <w:r>
        <w:rPr>
          <w:b/>
          <w:bCs/>
          <w:lang w:val="el" w:eastAsia="el"/>
        </w:rPr>
        <w:t>Επιβολή διοικητικού προστίμου στον Fatah Hqzan του Jawhar και της Sheena για την τελωνειακή παράβαση της παράνομης κατοχής και κυκλοφορίας κοινοτικού οχήματος εντός ελληνικής επικράτειας.</w:t>
      </w:r>
    </w:p>
    <w:p>
      <w:pPr>
        <w:spacing w:before="240" w:after="240"/>
        <w:rPr>
          <w:lang w:val="el" w:eastAsia="el"/>
        </w:rPr>
      </w:pPr>
      <w:r>
        <w:rPr>
          <w:lang w:val="el" w:eastAsia="el"/>
        </w:rPr>
        <w:t>Με την 17/2019/2.4.2019 καταλογιστική πράξη της Προϊσταμένης Διεύθυνσης του Τελωνείου Καβάλας επιβάλλεται, δυνάμει του άρθρου 137Α παρ. 1α ν. 2960/2001, στον Fatah Hqzan του Jawhar και της Sheena (κάτοχος του υπ’ αριθμ. 18/4000/4/636η/13.6.2018 υπηρεσιακού σημειώματος του Τμήματος Διαχείρισης Μετανάστευσης Θεσσαλονίκης), που τυγχάνει πρόσωπο αγνώστου διαμονής στην Ελλάδα (σχετική η υπ’ αριθμ. πρωτ. 1507/19/576086/18.3.2019 βεβαίωση της Δ/νσης Δημόσιας Ασφάλειας), διοικητικό πρόστιμο ύψους χιλίων οκτακοσίων ευρώ (1.800,00 €), πλέον 2.4% Τ.Χ. και Ο.Γ.Α., για τελωνειακή παράβαση παράνομης κατοχής και κυκλοφορίας εντός ελληνικής επικράτειας του Ι.Χ.Φ. οχήματος μάρκας FORD TRANSIT CONNECT T230L, 1.753 κυβικών εκατοστών και μεικτού βάρους 2,340 τόνων, με αρ. πλαισίου WF0UXXTTPU4C47975, αριθμό κυκλοφορίας WN S220, γερμανικών αρχών, χωρίς να έχουν τηρηθεί οι προβλεπόμενες στο ν. 2960/2001 και τη Δ.247/88 Α.Υ.Ο.Ο. διατυπώσεις.</w:t>
      </w:r>
    </w:p>
    <w:p>
      <w:pPr>
        <w:spacing w:before="240" w:after="240"/>
        <w:rPr>
          <w:lang w:val="el" w:eastAsia="el"/>
        </w:rPr>
      </w:pPr>
      <w:r>
        <w:rPr>
          <w:lang w:val="el" w:eastAsia="el"/>
        </w:rPr>
        <w:t>Ο καταλογιζόμενος δικαιούται να ασκήσει προσφυγή κατά της παρούσης, σύμφωνα με τις σχετικές διατάξεις του Κώδικα Διοικητικής Δικονομίας (ν. 2717/1999).</w:t>
      </w:r>
    </w:p>
    <w:p>
      <w:pPr>
        <w:spacing w:before="240" w:after="240"/>
        <w:rPr>
          <w:lang w:val="el" w:eastAsia="el"/>
        </w:rPr>
      </w:pPr>
      <w:r>
        <w:rPr>
          <w:lang w:val="el" w:eastAsia="el"/>
        </w:rPr>
        <w:t>Η Προϊσταμένη Διεύθυνσης</w:t>
      </w:r>
    </w:p>
    <w:p>
      <w:pPr>
        <w:spacing w:before="240" w:after="240"/>
        <w:rPr>
          <w:lang w:val="el" w:eastAsia="el"/>
        </w:rPr>
      </w:pPr>
      <w:r>
        <w:rPr>
          <w:lang w:val="el" w:eastAsia="el"/>
        </w:rPr>
        <w:t>ΒΑΣΙΛΙΚΗ ΚΑΡΑΒΑΣΙΛΗ</w:t>
      </w:r>
    </w:p>
    <w:p>
      <w:pPr>
        <w:spacing w:before="240" w:after="240"/>
        <w:rPr>
          <w:lang w:val="el" w:eastAsia="el"/>
        </w:rPr>
      </w:pPr>
      <w:r>
        <w:rPr>
          <w:lang w:val="el" w:eastAsia="el"/>
        </w:rPr>
        <w:t>(4)</w:t>
      </w:r>
    </w:p>
    <w:p>
      <w:pPr>
        <w:spacing w:before="240" w:after="240"/>
        <w:rPr>
          <w:lang w:val="el" w:eastAsia="el"/>
        </w:rPr>
      </w:pPr>
      <w:r>
        <w:rPr>
          <w:b/>
          <w:bCs/>
          <w:lang w:val="el" w:eastAsia="el"/>
        </w:rPr>
        <w:t>Επιβολή διοικητικού προστίμου στον Rahda Ali Ahmed του Ahmed και της Aisha Qader για την τελωνειακή παράβαση της παράνομης κατοχής και κυκλοφορίας κοινοτικού οχήματος εντός ελληνικής επικράτειας.</w:t>
      </w:r>
    </w:p>
    <w:p>
      <w:pPr>
        <w:spacing w:before="240" w:after="240"/>
        <w:rPr>
          <w:lang w:val="el" w:eastAsia="el"/>
        </w:rPr>
      </w:pPr>
      <w:r>
        <w:rPr>
          <w:lang w:val="el" w:eastAsia="el"/>
        </w:rPr>
        <w:t>Με την 21/2019/2.4.2019 καταλογιστική πράξη της Προϊσταμένης Διεύθυνσης του Τελωνείου Καβάλας επιβάλλεται, δυνάμει του άρθρου 137Α παρ. 1α ν. 2960/2001, στον Rahda Ali Ahmed του Ahmed και της Aisha Qader, κάτοχο του υπ’ αριθμ. 0546540/4.10.2018 δελτίου αιτούντος διεθνή προστασία, που τυγχάνει πρόσωπο αγνώστου διαμονής στην Ελλάδα (σχετική η υπ’ αριθμ. πρωτ. 1507/19/546626/14.3.2019 βεβαίωση της Δ/νσης Δημόσιας Ασφάλειας), διοικητικό πρόστιμο ύψους οκτώ χιλιάδων ευρώ (8.000,00 €), πλέον 2.4% Τ.Χ. και Ο.Γ.Α., για τελωνειακή παράβαση παράνομης κατοχής και κυκλοφορίας εντός ελληνικής επικράτειας του Ι.Χ.Ε. οχήματος μάρκας OPEL ZAFIRA, 2.172 κυβικών εκατοστών, με αρ. πλαισίου W0L0TGF7522202829, αριθμό κυκλοφορίας Ρ5280ΒΗ, βουλγαρικών αρχών, χωρίς να έχουν τηρηθεί οι προβλεπόμενες στο ν. 2960/2001 και τη Δ.247/88 Α.Υ.Ο.Ο. διατυπώσεις.</w:t>
      </w:r>
    </w:p>
    <w:p>
      <w:pPr>
        <w:spacing w:before="240" w:after="240"/>
        <w:rPr>
          <w:lang w:val="el" w:eastAsia="el"/>
        </w:rPr>
      </w:pPr>
      <w:r>
        <w:rPr>
          <w:lang w:val="el" w:eastAsia="el"/>
        </w:rPr>
        <w:t>Ο καταλογιζόμενος δικαιούται να ασκήσει προσφυγή κατά της παρούσης, σύμφωνα με τις σχετικές διατάξεις του Κώδικα Διοικητικής Δικονομίας (ν. 2717/1999).</w:t>
      </w:r>
    </w:p>
    <w:p>
      <w:pPr>
        <w:spacing w:before="240" w:after="240"/>
        <w:rPr>
          <w:lang w:val="el" w:eastAsia="el"/>
        </w:rPr>
      </w:pPr>
      <w:r>
        <w:rPr>
          <w:lang w:val="el" w:eastAsia="el"/>
        </w:rPr>
        <w:t>Η Προϊσταμένη Διεύθυνσης</w:t>
      </w:r>
    </w:p>
    <w:p>
      <w:pPr>
        <w:spacing w:before="240" w:after="240"/>
        <w:rPr>
          <w:lang w:val="el" w:eastAsia="el"/>
        </w:rPr>
      </w:pPr>
      <w:r>
        <w:rPr>
          <w:lang w:val="el" w:eastAsia="el"/>
        </w:rPr>
        <w:t>ΒΑΣΙΛΙΚΗ ΚΑΡΑΒΑΣΙΛΗ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