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ΔΗΜΟΣΙΟΝΟΜΙΚΗΣ ΠΟΛΙΤΙΚΗΣ</w:t>
      </w:r>
    </w:p>
    <w:p>
      <w:pPr>
        <w:pStyle w:val="PreambelText"/>
        <w:spacing w:before="240" w:after="240"/>
        <w:rPr>
          <w:lang w:val="el" w:eastAsia="el"/>
        </w:rPr>
      </w:pPr>
      <w:r>
        <w:rPr>
          <w:b/>
          <w:bCs/>
          <w:lang w:val="el" w:eastAsia="el"/>
        </w:rPr>
        <w:t>Α. ΓΕΝ. Δ/ΝΣΗ ΘΗΣΑΥΡΟΦΥΛΑΚΙΟΥ &amp;</w:t>
      </w:r>
    </w:p>
    <w:p>
      <w:pPr>
        <w:pStyle w:val="PreambelText"/>
        <w:spacing w:before="240" w:after="240"/>
        <w:rPr>
          <w:lang w:val="el" w:eastAsia="el"/>
        </w:rPr>
      </w:pPr>
      <w:r>
        <w:rPr>
          <w:b/>
          <w:bCs/>
          <w:lang w:val="el" w:eastAsia="el"/>
        </w:rPr>
        <w:t>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ΚΑΤΑΡΤΙΣΗΣ κ΄ ΣΥΝΤΟΝΙΣΜΟΥ ΕΦΑΡΜΟΓΗΣ ΔΗΜΟΣΙΟΝΟΜΙΚΩΝ ΚΑΝΟΝΩΝ</w:t>
      </w:r>
    </w:p>
    <w:p>
      <w:pPr>
        <w:pStyle w:val="PreambelText"/>
        <w:spacing w:before="240" w:after="240"/>
        <w:rPr>
          <w:lang w:val="el" w:eastAsia="el"/>
        </w:rPr>
      </w:pPr>
      <w:r>
        <w:rPr>
          <w:b/>
          <w:bCs/>
          <w:lang w:val="el" w:eastAsia="el"/>
        </w:rPr>
        <w:t>Β. ΓΕΝ. Δ/ΝΣΗ ΔΗΜΟΣΙΟΝΟΜΙΚΩΝ ΕΛΕΓΧΩΝ</w:t>
      </w:r>
    </w:p>
    <w:p>
      <w:pPr>
        <w:pStyle w:val="PreambelText"/>
        <w:spacing w:before="240" w:after="240"/>
        <w:rPr>
          <w:lang w:val="el" w:eastAsia="el"/>
        </w:rPr>
      </w:pPr>
      <w:r>
        <w:rPr>
          <w:lang w:val="el" w:eastAsia="el"/>
        </w:rPr>
        <w:t xml:space="preserve">2.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Δ/ΝΣΗ ΗΛΕΚΤΡΟΝΙΚΗΣ ΔΙΑΚΥΒΕΡΝΗΣΗΣ ΥΠΟΔ/ΝΣΗ Α΄-ΣΧΕΔΙΑΣΜΟΥ, ΑΝΑΠΤΥΞΗΣ ΕΦΑΡΜΟΓΩΝ κ’ ΥΠΗΡΕΣΙΩΝ ΗΛΕΚΤΡΟΝΙΚΗΣ ΔΙΑΚ/ΣΗΣ</w:t>
      </w:r>
    </w:p>
    <w:p>
      <w:pPr>
        <w:pStyle w:val="StructureList1"/>
        <w:spacing w:before="120" w:after="0"/>
        <w:rPr>
          <w:lang w:val="el" w:eastAsia="el"/>
        </w:rPr>
      </w:pPr>
      <w:r>
        <w:rPr>
          <w:lang w:val="el" w:eastAsia="el"/>
        </w:rPr>
        <w:t>-</w:t>
      </w:r>
      <w:r>
        <w:rPr>
          <w:lang w:val="en" w:eastAsia="en"/>
        </w:rPr>
        <w:tab/>
      </w:r>
      <w:r>
        <w:rPr>
          <w:lang w:val="el" w:eastAsia="el"/>
        </w:rPr>
        <w:t>ΤΜΗΜΑΤΑ Α’ – Β΄</w:t>
      </w:r>
    </w:p>
    <w:p>
      <w:pPr>
        <w:pStyle w:val="PreambelText"/>
        <w:spacing w:before="240" w:after="240"/>
        <w:rPr>
          <w:lang w:val="el" w:eastAsia="el"/>
        </w:rPr>
      </w:pPr>
      <w:r>
        <w:rPr>
          <w:b/>
          <w:bCs/>
          <w:lang w:val="el" w:eastAsia="el"/>
        </w:rPr>
        <w:t>Β. ΓΕΝ. Δ/ΝΣΗ ΟΙΚΟΝΟΜΙΚΩΝ ΥΠΗΡΕΣΙΩΝ</w:t>
      </w:r>
    </w:p>
    <w:p>
      <w:pPr>
        <w:pStyle w:val="PreambelText"/>
        <w:spacing w:before="240" w:after="240"/>
        <w:rPr>
          <w:lang w:val="el" w:eastAsia="el"/>
        </w:rPr>
      </w:pPr>
      <w:r>
        <w:rPr>
          <w:b/>
          <w:bCs/>
          <w:lang w:val="el" w:eastAsia="el"/>
        </w:rPr>
        <w:t>Δ/ΝΣΗ ΠΡΟΫΠΟΛΟΓΙΣΜΟΥ ΚΑΙ ΔΗΜΟΣΙΟΝΟΜΙΚΩΝ ΑΝΑΦΟΡΩΝ</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PreambelText"/>
        <w:spacing w:before="240" w:after="240"/>
        <w:rPr>
          <w:lang w:val="el" w:eastAsia="el"/>
        </w:rPr>
      </w:pPr>
      <w:r>
        <w:rPr>
          <w:b/>
          <w:bCs/>
          <w:lang w:val="el" w:eastAsia="el"/>
        </w:rPr>
        <w:t>Γ. ΓΕΝ. Δ/ΝΣΗ ΦΟΡΟΛΟΓΙΚΗΣ ΔΙΟΙΚΗΣΗΣ</w:t>
      </w:r>
    </w:p>
    <w:p>
      <w:pPr>
        <w:pStyle w:val="PreambelText"/>
        <w:spacing w:before="240" w:after="240"/>
        <w:rPr>
          <w:lang w:val="el" w:eastAsia="el"/>
        </w:rPr>
      </w:pPr>
      <w:r>
        <w:rPr>
          <w:b/>
          <w:bCs/>
          <w:lang w:val="el" w:eastAsia="el"/>
        </w:rPr>
        <w:t xml:space="preserve">Θέμα: </w:t>
      </w:r>
      <w:r>
        <w:rPr>
          <w:lang w:val="el" w:eastAsia="el"/>
        </w:rPr>
        <w:t>«Τροποποίηση της ΠΟΛ 1161/2017 περί προγράμματος δημοσίων κληρώσεων από την Ανεξάρτητη Αρχή Δημοσίων 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70 του ν. 4446/2016 (Α’ 240) περί προγράμματος δημοσίων κληρώσεων.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pStyle w:val="StructureList1"/>
        <w:spacing w:before="120" w:after="0"/>
        <w:rPr>
          <w:lang w:val="el" w:eastAsia="el"/>
        </w:rPr>
      </w:pPr>
      <w:r>
        <w:rPr>
          <w:lang w:val="el" w:eastAsia="el"/>
        </w:rPr>
        <w:t>δ)</w:t>
      </w:r>
      <w:r>
        <w:rPr>
          <w:lang w:val="en" w:eastAsia="en"/>
        </w:rPr>
        <w:tab/>
      </w:r>
      <w:r>
        <w:rPr>
          <w:lang w:val="el" w:eastAsia="el"/>
        </w:rPr>
        <w:t>του ν. 2472/1997 «Προστασία του ατόμου από την επεξεργασία δεδομένων προσωπικού χαρακτήρα» (Α’ 50).</w:t>
      </w:r>
    </w:p>
    <w:p>
      <w:pPr>
        <w:pStyle w:val="StructureList1"/>
        <w:spacing w:before="120" w:after="0"/>
        <w:rPr>
          <w:lang w:val="el" w:eastAsia="el"/>
        </w:rPr>
      </w:pPr>
      <w:r>
        <w:rPr>
          <w:lang w:val="el" w:eastAsia="el"/>
        </w:rPr>
        <w:t>ε)</w:t>
      </w:r>
      <w:r>
        <w:rPr>
          <w:lang w:val="en" w:eastAsia="en"/>
        </w:rPr>
        <w:tab/>
      </w:r>
      <w:r>
        <w:rPr>
          <w:lang w:val="el" w:eastAsia="el"/>
        </w:rPr>
        <w:t>του ν. 4537/2018 (ΦΕΚ Α’ 84) «Ενσωμάτωση στην ελληνική νομοθεσία της Οδηγίας 2015/2366/ΕΕ για τις υπηρεσίες πληρωμών και άλλες διατάξεις».</w:t>
      </w:r>
    </w:p>
    <w:p>
      <w:pPr>
        <w:pStyle w:val="PreambelText"/>
        <w:spacing w:before="240" w:after="240"/>
        <w:rPr>
          <w:lang w:val="el" w:eastAsia="el"/>
        </w:rPr>
      </w:pPr>
      <w:r>
        <w:rPr>
          <w:lang w:val="el" w:eastAsia="el"/>
        </w:rPr>
        <w:t>2. Του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Tου π.δ. 125/2016 (ΦΕΚ 210 Α΄) «Διορισμός Υπουργών, Αναπληρωτών Υπουργών και Υφυπουργών».</w:t>
      </w:r>
    </w:p>
    <w:p>
      <w:pPr>
        <w:pStyle w:val="PreambelText"/>
        <w:spacing w:before="240" w:after="240"/>
        <w:rPr>
          <w:lang w:val="el" w:eastAsia="el"/>
        </w:rPr>
      </w:pPr>
      <w:r>
        <w:rPr>
          <w:lang w:val="el" w:eastAsia="el"/>
        </w:rPr>
        <w:t>4. Tο π.δ. 142/2017 (ΦΕΚ Α’ 181) «Οργανισμός Υπουργείου Οικονομικών», όπως ισχύει.</w:t>
      </w:r>
    </w:p>
    <w:p>
      <w:pPr>
        <w:pStyle w:val="PreambelText"/>
        <w:spacing w:before="240" w:after="240"/>
        <w:rPr>
          <w:lang w:val="el" w:eastAsia="el"/>
        </w:rPr>
      </w:pPr>
      <w:r>
        <w:rPr>
          <w:lang w:val="el" w:eastAsia="el"/>
        </w:rPr>
        <w:t>5α. Την υπ’ αριθμ. ΥΠ.ΟΙΚ. 0010218 ΕΞ 2016 απόφαση του Πρωθυπουργού και του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5β. Την Υ29/8.10.2015 απόφαση του Πρωθυπουργού με θέμα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6.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w:t>
      </w:r>
    </w:p>
    <w:p>
      <w:pPr>
        <w:pStyle w:val="PreambelText"/>
        <w:spacing w:before="240" w:after="240"/>
        <w:rPr>
          <w:lang w:val="el" w:eastAsia="el"/>
        </w:rPr>
      </w:pPr>
      <w:r>
        <w:rPr>
          <w:lang w:val="el" w:eastAsia="el"/>
        </w:rPr>
        <w:t>7. Την ΠΟΛ 1161/2017 ΑΔΑ: Ψ5ΗΞ46ΜΠ3Ζ-63Κ, ΦΕΚ: B 3657/ 17.10.2017) περί Προγράμματος δημοσίων κληρώσεων από την Ανεξάρτητη Αρχή Δημοσίων Εσόδων.</w:t>
      </w:r>
    </w:p>
    <w:p>
      <w:pPr>
        <w:pStyle w:val="PreambelText"/>
        <w:spacing w:before="240" w:after="240"/>
        <w:rPr>
          <w:lang w:val="el" w:eastAsia="el"/>
        </w:rPr>
      </w:pPr>
      <w:r>
        <w:rPr>
          <w:lang w:val="el" w:eastAsia="el"/>
        </w:rPr>
        <w:t>Τις ήδη διεξαχθείσες δημόσιες κληρώσεις και την ανάγκη προσαρμογής και βελτιστοποίησης των ρυθμίσεων της ΠΟΛ 1161/2017, με βάση τα πραγματικά δεδομένα.</w:t>
      </w:r>
    </w:p>
    <w:p>
      <w:pPr>
        <w:pStyle w:val="PreambelText"/>
        <w:spacing w:before="240" w:after="240"/>
        <w:rPr>
          <w:lang w:val="el" w:eastAsia="el"/>
        </w:rPr>
      </w:pPr>
      <w:r>
        <w:rPr>
          <w:lang w:val="el" w:eastAsia="el"/>
        </w:rPr>
        <w:t>9. Το γεγονός ότι με την απόφαση αυτή δεν προκαλείται δαπάνη στον τακτικό προϋπολογισμό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PreambelText"/>
        <w:spacing w:before="240" w:after="240"/>
        <w:rPr>
          <w:lang w:val="el" w:eastAsia="el"/>
        </w:rPr>
      </w:pPr>
      <w:r>
        <w:rPr>
          <w:lang w:val="el" w:eastAsia="el"/>
        </w:rPr>
        <w:t>1) Τροποποιούμε την παράγραφο 1 του άρθρου 3, τις παραγράφους 2 και 3 του άρθρου 6 και την παράγραφο 6 του άρθρου 7 και προσθέτουμε νέα παράγραφο 6 στο άρθρο 4 της ΠΟΛ 1161/2017 (ΑΔΑ: Ψ5ΗΞ46ΜΠ3Ζ-63Κ, ΦΕΚ: B 3657/ 17.10.2017) περί Προγράμματος δημοσίων κληρώσεων από την Ανεξάρτητη Αρχή Δημοσίων Εσόδων, οι οποίες διαμορφώνονται ως εξής: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Λαχνοί</w:t>
      </w:r>
    </w:p>
    <w:p>
      <w:pPr>
        <w:pStyle w:val="MainText"/>
        <w:spacing w:before="120" w:after="0"/>
        <w:rPr>
          <w:lang w:val="el" w:eastAsia="el"/>
        </w:rPr>
      </w:pPr>
      <w:r>
        <w:rPr>
          <w:b/>
          <w:bCs/>
          <w:lang w:val="el" w:eastAsia="el"/>
        </w:rPr>
        <w:t>1.</w:t>
      </w:r>
      <w:r>
        <w:rPr>
          <w:lang w:val="el" w:eastAsia="el"/>
        </w:rPr>
        <w:t xml:space="preserve"> Το πλήθος των λαχνών προσδιορίζεται κλιμακωτά, με βάση το άθροισμα των ποσών που αντιστοιχούν στο σύνολο των μηνιαίων συναλλαγών του άρθρου 1, ως εξής:</w:t>
      </w:r>
    </w:p>
    <w:p>
      <w:pPr>
        <w:spacing w:before="240" w:after="240"/>
        <w:rPr>
          <w:lang w:val="el" w:eastAsia="el"/>
        </w:rPr>
      </w:pPr>
      <w:r>
        <w:rPr>
          <w:lang w:val="el" w:eastAsia="el"/>
        </w:rPr>
        <w:t>• Για συνολικό άθροισμα μέχρι διακόσια (200) ευρώ, ένας (1) λαχνός για κάθε ένα (1) ευρώ.</w:t>
      </w:r>
    </w:p>
    <w:p>
      <w:pPr>
        <w:spacing w:before="240" w:after="240"/>
        <w:rPr>
          <w:lang w:val="el" w:eastAsia="el"/>
        </w:rPr>
      </w:pPr>
      <w:r>
        <w:rPr>
          <w:lang w:val="el" w:eastAsia="el"/>
        </w:rPr>
        <w:t>• Για τα επόμενα τριακόσια (300) ευρώ, ήτοι συνολικό άθροισμα από διακόσια ένα (201) ευρώ μέχρι πεντακόσια (500) ευρώ, ένας (1) λαχνός για κάθε δύο (2) ευρώ.</w:t>
      </w:r>
    </w:p>
    <w:p>
      <w:pPr>
        <w:spacing w:before="240" w:after="240"/>
        <w:rPr>
          <w:lang w:val="el" w:eastAsia="el"/>
        </w:rPr>
      </w:pPr>
      <w:r>
        <w:rPr>
          <w:lang w:val="el" w:eastAsia="el"/>
        </w:rPr>
        <w:t>• Για τα επόμενα πεντακόσια (500) ευρώ, ήτοι συνολικό άθροισμα από πεντακόσια ένα (501) ευρώ μέχρι χίλια (1000) ευρώ, ένας (1) λαχνός για κάθε τρία (3) ευρώ.</w:t>
      </w:r>
    </w:p>
    <w:p>
      <w:pPr>
        <w:spacing w:before="240" w:after="240"/>
        <w:rPr>
          <w:lang w:val="el" w:eastAsia="el"/>
        </w:rPr>
      </w:pPr>
      <w:r>
        <w:rPr>
          <w:lang w:val="el" w:eastAsia="el"/>
        </w:rPr>
        <w:t>• Για το υπερβάλλον ποσό, ήτοι συνολικό άθροισμα πάνω από χίλια ένα (1001) ευρώ, ένας (1) λαχνός για κάθε έξι (6) ευρώ, με ανώτατο όριο συναλλαγών που λαμβάνονται υπόψη για τις ανάγκες του προγράμματος των δημοσίων κληρώσεων, το ποσό των πενήντα χιλιάδων (50.000) ευρώ.</w:t>
      </w:r>
    </w:p>
    <w:p>
      <w:pPr>
        <w:spacing w:before="240" w:after="240"/>
        <w:rPr>
          <w:lang w:val="el" w:eastAsia="el"/>
        </w:rPr>
      </w:pPr>
      <w:r>
        <w:rPr>
          <w:lang w:val="el" w:eastAsia="el"/>
        </w:rPr>
        <w:t>Όπου απαιτείται στρογγυλοποίηση, αυτή γίνεται στον πλησιέστερο μεγαλύτερο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Κληρώσεις</w:t>
      </w:r>
    </w:p>
    <w:p>
      <w:pPr>
        <w:pStyle w:val="MainText"/>
        <w:spacing w:before="120" w:after="0"/>
        <w:rPr>
          <w:lang w:val="el" w:eastAsia="el"/>
        </w:rPr>
      </w:pPr>
      <w:r>
        <w:rPr>
          <w:b/>
          <w:bCs/>
          <w:lang w:val="el" w:eastAsia="el"/>
        </w:rPr>
        <w:t>6.</w:t>
      </w:r>
      <w:r>
        <w:rPr>
          <w:lang w:val="el" w:eastAsia="el"/>
        </w:rPr>
        <w:t xml:space="preserve"> Κάθε συμμετέχων μπορεί να αναδειχθεί τυχερός μέχρι δύο (2) φορές μέσα στο ίδιο ημερολογιακό έτος. Σε περίπτωση που συμμετέχων αναδειχθεί τυχερός περισσότερες από δύο (2) φορές, το χρηματικό ποσό που αντιστοιχεί στο έπαθλο καταβάλλεται στον 1</w:t>
      </w:r>
      <w:r>
        <w:rPr>
          <w:sz w:val="30"/>
          <w:szCs w:val="30"/>
          <w:vertAlign w:val="superscript"/>
          <w:lang w:val="el" w:eastAsia="el"/>
        </w:rPr>
        <w:t>ο</w:t>
      </w:r>
      <w:r>
        <w:rPr>
          <w:lang w:val="el" w:eastAsia="el"/>
        </w:rPr>
        <w:t>, 2</w:t>
      </w:r>
      <w:r>
        <w:rPr>
          <w:sz w:val="30"/>
          <w:szCs w:val="30"/>
          <w:vertAlign w:val="superscript"/>
          <w:lang w:val="el" w:eastAsia="el"/>
        </w:rPr>
        <w:t xml:space="preserve">ο </w:t>
      </w:r>
      <w:r>
        <w:rPr>
          <w:lang w:val="el" w:eastAsia="el"/>
        </w:rPr>
        <w:t>κ.ο.κ. δικαιούχο, κάτοχο του 1</w:t>
      </w:r>
      <w:r>
        <w:rPr>
          <w:sz w:val="30"/>
          <w:szCs w:val="30"/>
          <w:vertAlign w:val="superscript"/>
          <w:lang w:val="el" w:eastAsia="el"/>
        </w:rPr>
        <w:t>ου</w:t>
      </w:r>
      <w:r>
        <w:rPr>
          <w:lang w:val="el" w:eastAsia="el"/>
        </w:rPr>
        <w:t>, 2</w:t>
      </w:r>
      <w:r>
        <w:rPr>
          <w:sz w:val="30"/>
          <w:szCs w:val="30"/>
          <w:vertAlign w:val="superscript"/>
          <w:lang w:val="el" w:eastAsia="el"/>
        </w:rPr>
        <w:t>ου</w:t>
      </w:r>
      <w:r>
        <w:rPr>
          <w:lang w:val="el" w:eastAsia="el"/>
        </w:rPr>
        <w:t xml:space="preserve"> κ.ο.κ. αναπληρωματικού λαχνού της εκάστοτε κλήρωσης.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Απονομή Επάθλων</w:t>
      </w:r>
    </w:p>
    <w:p>
      <w:pPr>
        <w:pStyle w:val="MainText"/>
        <w:spacing w:before="120" w:after="0"/>
        <w:rPr>
          <w:lang w:val="el" w:eastAsia="el"/>
        </w:rPr>
      </w:pPr>
      <w:r>
        <w:rPr>
          <w:b/>
          <w:bCs/>
          <w:lang w:val="el" w:eastAsia="el"/>
        </w:rPr>
        <w:t>2.</w:t>
      </w:r>
      <w:r>
        <w:rPr>
          <w:lang w:val="el" w:eastAsia="el"/>
        </w:rPr>
        <w:t xml:space="preserve"> Στους φορολογούμενους που κληρώνονται και δεν έχουν δηλώσει λογαριασμό πληρωμών, δίνεται προθεσμία τριών (3) μηνών από την επομένη της ημερομηνίας διεξαγωγής της κλήρωσης, προκειμένου να δηλώσουν τον λογαριασμό πληρωμών στον οποίο επιθυμούν να πιστωθεί το χρηματικό έπαθλο, στην εφαρμογή προσωποποιημένης πληροφόρησης του TAXISnet. Η πίστωση του ποσού που αντιστοιχεί στο χρηματικό έπαθλο θα γίνεται ατόκως, μετά τη δήλωση του λογαριασμού πληρωμών.</w:t>
      </w:r>
    </w:p>
    <w:p>
      <w:pPr>
        <w:pStyle w:val="MainText"/>
        <w:spacing w:before="120" w:after="0"/>
        <w:rPr>
          <w:lang w:val="el" w:eastAsia="el"/>
        </w:rPr>
      </w:pPr>
      <w:r>
        <w:rPr>
          <w:b/>
          <w:bCs/>
          <w:lang w:val="el" w:eastAsia="el"/>
        </w:rPr>
        <w:t>3.</w:t>
      </w:r>
      <w:r>
        <w:rPr>
          <w:lang w:val="el" w:eastAsia="el"/>
        </w:rPr>
        <w:t xml:space="preserve"> Σε περίπτωση που δεν δηλωθεί λογαριασμός πληρωμών εντός της ως άνω προθεσμίας, το χρηματικό ποσό που αντιστοιχεί στο έπαθλο καταβάλλεται στον 1</w:t>
      </w:r>
      <w:r>
        <w:rPr>
          <w:sz w:val="30"/>
          <w:szCs w:val="30"/>
          <w:vertAlign w:val="superscript"/>
          <w:lang w:val="el" w:eastAsia="el"/>
        </w:rPr>
        <w:t>ο</w:t>
      </w:r>
      <w:r>
        <w:rPr>
          <w:lang w:val="el" w:eastAsia="el"/>
        </w:rPr>
        <w:t>, 2</w:t>
      </w:r>
      <w:r>
        <w:rPr>
          <w:sz w:val="30"/>
          <w:szCs w:val="30"/>
          <w:vertAlign w:val="superscript"/>
          <w:lang w:val="el" w:eastAsia="el"/>
        </w:rPr>
        <w:t>ο</w:t>
      </w:r>
      <w:r>
        <w:rPr>
          <w:lang w:val="el" w:eastAsia="el"/>
        </w:rPr>
        <w:t xml:space="preserve"> κ.ο.κ. δικαιούχο, κάτοχο του 1</w:t>
      </w:r>
      <w:r>
        <w:rPr>
          <w:sz w:val="30"/>
          <w:szCs w:val="30"/>
          <w:vertAlign w:val="superscript"/>
          <w:lang w:val="el" w:eastAsia="el"/>
        </w:rPr>
        <w:t>ου</w:t>
      </w:r>
      <w:r>
        <w:rPr>
          <w:lang w:val="el" w:eastAsia="el"/>
        </w:rPr>
        <w:t>, 2</w:t>
      </w:r>
      <w:r>
        <w:rPr>
          <w:sz w:val="30"/>
          <w:szCs w:val="30"/>
          <w:vertAlign w:val="superscript"/>
          <w:lang w:val="el" w:eastAsia="el"/>
        </w:rPr>
        <w:t>ου</w:t>
      </w:r>
      <w:r>
        <w:rPr>
          <w:lang w:val="el" w:eastAsia="el"/>
        </w:rPr>
        <w:t xml:space="preserve"> κ.ο.κ. αναπληρωματικού λαχνού της συγκεκριμένης κλήρωσης, ο οποίος ενημερώνεται επίσης μέσω προσωποποιημένου μηνύματος στον λογαριασμό του στο TAXISnet. Η διαδικασία δεν επαναλαμβάνεται.</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καιτρόπος χορήγησης του επάθλου</w:t>
      </w:r>
    </w:p>
    <w:p>
      <w:pPr>
        <w:pStyle w:val="MainText"/>
        <w:spacing w:before="120" w:after="0"/>
        <w:rPr>
          <w:lang w:val="el" w:eastAsia="el"/>
        </w:rPr>
      </w:pPr>
      <w:r>
        <w:rPr>
          <w:b/>
          <w:bCs/>
          <w:lang w:val="el" w:eastAsia="el"/>
        </w:rPr>
        <w:t>6.</w:t>
      </w:r>
      <w:r>
        <w:rPr>
          <w:lang w:val="el" w:eastAsia="el"/>
        </w:rPr>
        <w:t xml:space="preserve">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Διοικητή Α.Α.Δ.Ε. για την έκδοση του συμψηφιστικού χρηματικού εντάλματος, από τη Γ.Δ.Ο.Υ. της Α.Α.Δ.Ε. σε συνεργασία με τη Δ.ΗΛΕ.Δ.</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του Δημοσίου 200.</w:t>
      </w:r>
    </w:p>
    <w:p>
      <w:pPr>
        <w:spacing w:before="240" w:after="240"/>
        <w:rPr>
          <w:lang w:val="el" w:eastAsia="el"/>
        </w:rPr>
      </w:pPr>
      <w:r>
        <w:rPr>
          <w:lang w:val="el" w:eastAsia="el"/>
        </w:rPr>
        <w:t>2) Κατ’ εφαρμογή του άρθρου 4 του ν. 4537/2018, όπου στην ΠΟΛ 1161/2017 (ΦΕΚ Β’ 3657/17.10.2017) γίνεται αναφορά σε «τραπεζικό λογαριασμό», εννοείται «λογαριασμός πληρωμών» και όπου γίνεται αναφορά σε «τραπεζικό ή πιστωτικό ίδρυμα», εννοείται «Πάροχος Υπηρεσιών Πληρωμών».</w:t>
      </w:r>
    </w:p>
    <w:p>
      <w:pPr>
        <w:spacing w:before="240" w:after="240"/>
        <w:rPr>
          <w:lang w:val="el" w:eastAsia="el"/>
        </w:rPr>
      </w:pPr>
      <w:r>
        <w:rPr>
          <w:lang w:val="el" w:eastAsia="el"/>
        </w:rPr>
        <w:t>Κατά τα λοιπά ισχύει, ως έχει, η ΠΟΛ 1161/2017 (ΑΔΑ: Ψ5ΗΞ46ΜΠ3Ζ-63Κ, ΦΕΚ: B 3657/ 17.10.2017).</w:t>
      </w:r>
    </w:p>
    <w:p>
      <w:pPr>
        <w:spacing w:before="240" w:after="240"/>
        <w:rPr>
          <w:lang w:val="el" w:eastAsia="el"/>
        </w:rPr>
      </w:pPr>
      <w:r>
        <w:rPr>
          <w:lang w:val="el" w:eastAsia="el"/>
        </w:rPr>
        <w:t>Η ισχύς της παρούσας τροποποιητικής απόφασης αρχίζει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3"/>
        <w:gridCol w:w="5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ΔΗΜΟΣΙΩΝ ΕΣΟΔΩΝ ΓΕΩΡΓΙΟΣ ΠΙΤΣΙΛΗΣ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ΥΦΥΠΟΥΡΓΟΣ ΟΙΚΟΝΟΜΙΚΩΝ 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ΑΝΑΠΛΗΡΩΤΗΣ ΥΠΟΥΡΓΟΣ ΟΙΚΟΝΟΜΙΚΩΝ ΓΕΩΡΓΙΟΣ ΧΟΥΛΙΑΡΑΚΗΣ</w:t>
            </w:r>
          </w:p>
        </w:tc>
      </w:tr>
    </w:tbl>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spacing w:before="240" w:after="240"/>
        <w:rPr>
          <w:lang w:val="el" w:eastAsia="el"/>
        </w:rPr>
      </w:pPr>
      <w:r>
        <w:rPr>
          <w:lang w:val="el" w:eastAsia="el"/>
        </w:rPr>
        <w:t>Γραφείο κ. Υπουργού Οικονομικών</w:t>
      </w:r>
    </w:p>
    <w:p>
      <w:pPr>
        <w:spacing w:before="240" w:after="240"/>
        <w:rPr>
          <w:lang w:val="el" w:eastAsia="el"/>
        </w:rPr>
      </w:pPr>
      <w:r>
        <w:rPr>
          <w:lang w:val="el" w:eastAsia="el"/>
        </w:rPr>
        <w:t>Γραφείο κ. Αναπληρωτή Υπουργού Οικονομικών</w:t>
      </w:r>
    </w:p>
    <w:p>
      <w:pPr>
        <w:spacing w:before="240" w:after="240"/>
        <w:rPr>
          <w:lang w:val="el" w:eastAsia="el"/>
        </w:rPr>
      </w:pPr>
      <w:r>
        <w:rPr>
          <w:lang w:val="el" w:eastAsia="el"/>
        </w:rPr>
        <w:t>Γραφείο κ. Υφυπουργού Οικονομικών</w:t>
      </w:r>
    </w:p>
    <w:p>
      <w:pPr>
        <w:spacing w:before="240" w:after="240"/>
        <w:rPr>
          <w:lang w:val="el" w:eastAsia="el"/>
        </w:rPr>
      </w:pP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&amp; Δημοσιονομικών Αναφορών ΑΑΔΕ</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ΑΑΔΕ</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Κατάρτισης κ' Συντονισμού Εφαρμογής Δημοσιονομικών Κανόνων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