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w:t>
      </w:r>
    </w:p>
    <w:p>
      <w:pPr>
        <w:pStyle w:val="Title"/>
        <w:spacing w:before="120" w:after="360"/>
        <w:rPr>
          <w:lang w:val="el" w:eastAsia="el"/>
        </w:rPr>
      </w:pPr>
      <w:r>
        <w:rPr>
          <w:b/>
          <w:bCs/>
          <w:lang w:val="el" w:eastAsia="el"/>
        </w:rPr>
        <w:t>ΑΔΑ:Ω</w:t>
      </w:r>
    </w:p>
    <w:p>
      <w:pPr>
        <w:pStyle w:val="Title"/>
        <w:spacing w:before="120" w:after="360"/>
        <w:rPr>
          <w:lang w:val="el" w:eastAsia="el"/>
        </w:rPr>
      </w:pPr>
      <w:r>
        <w:rPr>
          <w:b/>
          <w:bCs/>
          <w:lang w:val="el" w:eastAsia="el"/>
        </w:rPr>
        <w:t>ΑΡΙΘ.</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Δ/ΝΣΗ ΦΟΡΟΛΟΓΙΚΗΣ ΔΙΟΙΚΗΣΗΣ</w:t>
      </w:r>
    </w:p>
    <w:p>
      <w:pPr>
        <w:spacing w:before="240" w:after="240"/>
        <w:rPr>
          <w:lang w:val="el" w:eastAsia="el"/>
        </w:rPr>
      </w:pPr>
      <w:r>
        <w:rPr>
          <w:b/>
          <w:bCs/>
          <w:lang w:val="el" w:eastAsia="el"/>
        </w:rPr>
        <w:t>Δ/ΝΣΗ ΕΦΑΡΜΟΓΗΣ ΑΜΕΣΗΣ ΦΟΡΟΛΟΓΙΑΣ ΤΜΗΜΑ Α΄</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&amp; ΑΝΘΡ. ΔΥΝΑΜΙΚΟΥ</w:t>
      </w:r>
    </w:p>
    <w:p>
      <w:pPr>
        <w:spacing w:before="240" w:after="240"/>
        <w:rPr>
          <w:lang w:val="el" w:eastAsia="el"/>
        </w:rPr>
      </w:pPr>
      <w:r>
        <w:rPr>
          <w:b/>
          <w:bCs/>
          <w:lang w:val="el" w:eastAsia="el"/>
        </w:rPr>
        <w:t>Δ/ΝΣΗ ΗΛΕΚΤΡΟΝΙΚΗΣ ΔΙΑΚΥΒΕΡΝΗΣΗΣ ΤΜΗΜΑΤΑ Α΄ &amp; Ζ΄</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3375311 – 312 – 314 – 315</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 «Τροποποίηση της Α.1009/2019 Απόφασης του Διοικητή της Α.Α.Δ.Ε. που αφορά τον τύπο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2018».</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του ν.4174/2013 (170Α΄).</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παραγράφων 3, 4 του άρθρου 15 του ν.4174/2013.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παραγράφου 4 του άρθρου 8 του ν.4172/2013 (167Α΄).</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3,12,13,14,15,21,29,36,37,38,43Α,45,59,60,61,62,63,64,67,68 του ν.4172/2013.</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52 του ν.4607/2019 (65Α΄).</w:t>
      </w:r>
    </w:p>
    <w:p>
      <w:pPr>
        <w:pStyle w:val="StructureList1"/>
        <w:spacing w:before="120" w:after="0"/>
        <w:rPr>
          <w:lang w:val="el" w:eastAsia="el"/>
        </w:rPr>
      </w:pPr>
      <w:r>
        <w:rPr>
          <w:b/>
          <w:bCs/>
          <w:lang w:val="el" w:eastAsia="el"/>
        </w:rPr>
        <w:t>ζ)</w:t>
      </w:r>
      <w:r>
        <w:rPr>
          <w:b/>
          <w:bCs/>
          <w:lang w:val="en" w:eastAsia="en"/>
        </w:rPr>
        <w:tab/>
      </w:r>
      <w:r>
        <w:rPr>
          <w:b/>
          <w:bCs/>
          <w:lang w:val="el" w:eastAsia="el"/>
        </w:rPr>
        <w:t>της απόφασης ΓΓΔΕ ΠΟΛ 1051/19.2.2015 (373 Β΄), της απόφασης Αναπληρωτή ΓΓΔΕ ΠΟΛ 1274/30.12.2015 (2919 Β΄), της απόφασης Διοικητή ΑΑΔΕ ΠΟΛ 1025/21.2.2017 (618 Β΄), της απόφασης Διοικητή ΑΑΔΕ ΠΟΛ 1045/7.3.2018 (881 Β΄) και της απόφασης Διοικητή ΑΑΔΕ Α.1009/10.1.2019 (21 Β΄),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των αποφάσεων ΓΓΔΕ ΠΟΛ 1088/17.4.2015 (763 Β΄), ΓΓΔΕ ΠΟΛ 1132/25.6.2015 (1407 Β΄), ΓΓΔΕ ΠΟΛ 1041/4.4.2016 (926 Β΄), ΓΓΔΕ ΠΟΛ 1096/4.7.2016 (2043 Β΄), της απόφασης Διοικητή ΑΑΔΕ ΠΟΛ 1034/7.3.2017 (759 Β΄), της απόφασης Διοικητή ΑΑΔΕ ΠΟΛ 1068/12.4.2018 (1319 Β΄) και της απόφασης Διοικητή ΑΑΔΕ Α.1041/29.1.2019 (353 Β΄), όπως ισχύουν.</w:t>
      </w:r>
    </w:p>
    <w:p>
      <w:pPr>
        <w:pStyle w:val="StructureList1"/>
        <w:spacing w:before="120" w:after="0"/>
        <w:rPr>
          <w:lang w:val="el" w:eastAsia="el"/>
        </w:rPr>
      </w:pPr>
      <w:r>
        <w:rPr>
          <w:b/>
          <w:bCs/>
          <w:lang w:val="el" w:eastAsia="el"/>
        </w:rPr>
        <w:t>θ)</w:t>
      </w:r>
      <w:r>
        <w:rPr>
          <w:b/>
          <w:bCs/>
          <w:lang w:val="en" w:eastAsia="en"/>
        </w:rPr>
        <w:tab/>
      </w:r>
      <w:r>
        <w:rPr>
          <w:b/>
          <w:bCs/>
          <w:lang w:val="el" w:eastAsia="el"/>
        </w:rPr>
        <w:t>της απόφασης ΓΓΔΕ ΠΟΛ 1033/28.1.2014 (276 Β΄), όπως ισχύει.</w:t>
      </w:r>
    </w:p>
    <w:p>
      <w:pPr>
        <w:pStyle w:val="StructureList1"/>
        <w:spacing w:before="120" w:after="0"/>
        <w:rPr>
          <w:lang w:val="el" w:eastAsia="el"/>
        </w:rPr>
      </w:pPr>
      <w:r>
        <w:rPr>
          <w:b/>
          <w:bCs/>
          <w:lang w:val="el" w:eastAsia="el"/>
        </w:rPr>
        <w:t>ι)</w:t>
      </w:r>
      <w:r>
        <w:rPr>
          <w:b/>
          <w:bCs/>
          <w:lang w:val="en" w:eastAsia="en"/>
        </w:rPr>
        <w:tab/>
      </w:r>
      <w:r>
        <w:rPr>
          <w:b/>
          <w:bCs/>
          <w:lang w:val="el" w:eastAsia="el"/>
        </w:rPr>
        <w:t>της αριθ.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b/>
          <w:bCs/>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4.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Η παράγραφος 11 του άρθρου 6 της Α.1009/2019 Απόφασης του Διοικητή της Α.Α.Δ.Ε. αντικαθίσταται ως εξής:</w:t>
      </w:r>
    </w:p>
    <w:p>
      <w:pPr>
        <w:spacing w:before="240" w:after="240"/>
        <w:rPr>
          <w:lang w:val="el" w:eastAsia="el"/>
        </w:rPr>
      </w:pPr>
      <w:r>
        <w:rPr>
          <w:b/>
          <w:bCs/>
          <w:lang w:val="el" w:eastAsia="el"/>
        </w:rPr>
        <w:t>«</w:t>
      </w:r>
      <w:r>
        <w:rPr>
          <w:b/>
          <w:bCs/>
          <w:lang w:val="el" w:eastAsia="el"/>
        </w:rPr>
        <w:t xml:space="preserve">11. </w:t>
      </w:r>
      <w:r>
        <w:rPr>
          <w:b/>
          <w:bCs/>
          <w:lang w:val="el" w:eastAsia="el"/>
        </w:rPr>
        <w:t>Τα εφάπαξ χρηματικά ποσά που καταβλήθηκαν στο φορολογικό έτος 2018 στους δικαιούχους των άρθρων 10 έως και 15 του ν.4575/2018 (στελέχη που εμπίπτουν σε ειδικά μισθολόγια καθώς και συνταξιούχοι των ίδιων κατηγοριών), αποστέλλονται με τον κωδικό 48 του αρχείου εισοδήματος από μισθωτή εργασία και συντάξεις. Οι υπόχρεοι υποβολής ηλεκτρονικού αρχείου βεβαιώσεων υποβάλλουν εκ νέου ηλεκτρονικό αρχείο σύμφωνα με τα ανωτέρω, στις περιπτώσεις που κατ’ εφαρμογή της Α.1009/2019 Απόφασης του Διοικητή της Α.Α.Δ.Ε., τα χρηματικά αυτά ποσά έχουν ήδη αποσταλεί με τον κωδικό 47 του αρχείου εισοδήματος από μισθωτή εργασία και συντάξεις».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πινάκων Α΄ - ΚΓ΄ (εκτός πίνακα ΙΑ΄)</w:t>
      </w:r>
    </w:p>
    <w:p>
      <w:pPr>
        <w:spacing w:before="240" w:after="240"/>
        <w:rPr>
          <w:lang w:val="el" w:eastAsia="el"/>
        </w:rPr>
      </w:pPr>
      <w:r>
        <w:rPr>
          <w:b/>
          <w:bCs/>
          <w:lang w:val="el" w:eastAsia="el"/>
        </w:rPr>
        <w:t>2.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5. Αποδέκτες πίνακα Θ΄ (εντός μόνο 4 αυτού) [με την παράκληση της κοινοποίησης της παρούσας στις ΓΔΟΥ των αποδεκτών αυτών]</w:t>
      </w:r>
    </w:p>
    <w:p>
      <w:pPr>
        <w:spacing w:before="240" w:after="240"/>
        <w:rPr>
          <w:lang w:val="el" w:eastAsia="el"/>
        </w:rPr>
      </w:pPr>
      <w:r>
        <w:rPr>
          <w:b/>
          <w:bCs/>
          <w:lang w:val="el" w:eastAsia="el"/>
        </w:rPr>
        <w:t>6. Η.ΔΙ.Κ.Α. Α.Ε. – Λυκούργου 10 10551 ΑΘΗΝΑ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b/>
          <w:bCs/>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