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Γ1α/Γ.Π.40043</w:t>
      </w:r>
      <w:r>
        <w:rPr>
          <w:b/>
          <w:bCs/>
          <w:lang w:val="el" w:eastAsia="el"/>
        </w:rPr>
        <w:t>Καθορισμός προδιαγραφών και κανονισμού λειτουργίας Μονάδων Τεχνητού Νεφρού σε Κέντρα Υγείας.</w:t>
      </w:r>
    </w:p>
    <w:p>
      <w:pPr>
        <w:pStyle w:val="Title"/>
        <w:spacing w:before="120" w:after="360"/>
        <w:rPr>
          <w:lang w:val="el" w:eastAsia="el"/>
        </w:rPr>
      </w:pPr>
      <w:r>
        <w:rPr>
          <w:b/>
          <w:bCs/>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π.δ. 225/2000 (ΦΕΚ 194/Α’/7-9-2000) «Καθορισμός κριτηρίων κατά περιφέρεια και περιοχή, όρων, προϋποθέσεων, τεχνικών προδιαγραφών, απαραίτητου εξοπλισμού, επιστημονικού και λοιπού προσωπικού για την έγκριση σκοπιμότητας και την ίδρυση και λειτουργία Μονάδων Χρόνιας Αιμοκάθαρσης εκτός Νοσοκομείων και Κλινικών».</w:t>
      </w:r>
    </w:p>
    <w:p>
      <w:pPr>
        <w:pStyle w:val="PreambelText"/>
        <w:spacing w:before="240" w:after="240"/>
        <w:rPr>
          <w:lang w:val="el" w:eastAsia="el"/>
        </w:rPr>
      </w:pPr>
      <w:r>
        <w:rPr>
          <w:lang w:val="el" w:eastAsia="el"/>
        </w:rPr>
        <w:t>2. Το π.δ. 121/2017 (ΦΕΚ 148/Α’/9-10-2017) «Οργανισμός του Υπουργείου Υγείας», όπως ισχύει.</w:t>
      </w:r>
    </w:p>
    <w:p>
      <w:pPr>
        <w:pStyle w:val="PreambelText"/>
        <w:spacing w:before="240" w:after="240"/>
        <w:rPr>
          <w:lang w:val="el" w:eastAsia="el"/>
        </w:rPr>
      </w:pPr>
      <w:r>
        <w:rPr>
          <w:lang w:val="el" w:eastAsia="el"/>
        </w:rPr>
        <w:t>3. Την Α2γ/288/1987 (ΦΕΚ 107/Β’/9-3-1987) απόφαση του Υπουργού Υγείας, Πρόνοιας και Κοινωνικών Ασφαλίσεων με θέμα: «Προδιαγραφές και Κανονισμός λειτουργίας Μονάδων Εξωνεφρικής Κάθαρσης».</w:t>
      </w:r>
    </w:p>
    <w:p>
      <w:pPr>
        <w:pStyle w:val="PreambelText"/>
        <w:spacing w:before="240" w:after="240"/>
        <w:rPr>
          <w:lang w:val="el" w:eastAsia="el"/>
        </w:rPr>
      </w:pPr>
      <w:r>
        <w:rPr>
          <w:lang w:val="el" w:eastAsia="el"/>
        </w:rPr>
        <w:t>4. Το από 17-1-2019 Ενημερωτικό Σημείωμα προς το Γραφείο του Υπουργού Υγείας, με συνημμένο προς υπογραφή το με αριθμ. Γ1α/ΓΠ 3226/18-1-2019 ερώτημα προς το ΚΕΣΥ με θέμα: «Καθορισμός προδιαγραφών και κανονισμού λειτουργίας Μονάδων Τεχνητού Νεφρού σε δημόσιες μονάδες παροχής υπηρεσιών Πρωτοβάθμιας Φροντίδας Υγείας».</w:t>
      </w:r>
    </w:p>
    <w:p>
      <w:pPr>
        <w:pStyle w:val="PreambelText"/>
        <w:spacing w:before="240" w:after="240"/>
        <w:rPr>
          <w:lang w:val="el" w:eastAsia="el"/>
        </w:rPr>
      </w:pPr>
      <w:r>
        <w:rPr>
          <w:lang w:val="el" w:eastAsia="el"/>
        </w:rPr>
        <w:t>5. Την 2 απόφαση της 273ης/1-2-2019 Ολομέλειας του ΚΕ.Σ.Υ. με θέμα: «Σχετικώς με τον καθορισμό προδιαγραφών και κανονισμού λειτουργίας Μονάδων Τεχνητού Νεφρού σε δημόσιες μονάδες παροχής υπηρεσιών Πρωτοβάθμιας Φροντίδας Υγείας», η οποία έγινε δεκτή από τον Υπουργό Υγείας.</w:t>
      </w:r>
    </w:p>
    <w:p>
      <w:pPr>
        <w:pStyle w:val="PreambelText"/>
        <w:spacing w:before="240" w:after="240"/>
        <w:rPr>
          <w:lang w:val="el" w:eastAsia="el"/>
        </w:rPr>
      </w:pPr>
      <w:r>
        <w:rPr>
          <w:lang w:val="el" w:eastAsia="el"/>
        </w:rPr>
        <w:t>6. Το από 24-4-2019 μήνυμα ηλεκτρονικού ταχυδρομείου από το Γραφείο του Αναπληρωτή Γενικού Γραμματέα με θέμα «Ερώτημα προς ΚΕΣΥ για ΜΤΝ».</w:t>
      </w:r>
    </w:p>
    <w:p>
      <w:pPr>
        <w:pStyle w:val="PreambelText"/>
        <w:spacing w:before="240" w:after="240"/>
        <w:rPr>
          <w:lang w:val="el" w:eastAsia="el"/>
        </w:rPr>
      </w:pPr>
      <w:r>
        <w:rPr>
          <w:lang w:val="el" w:eastAsia="el"/>
        </w:rPr>
        <w:t>7. Το αριθμ. 40043/28-5-2019 έγγραφο του Γραφείου του Αν. Γενικού Γραμματέα του Υπουργείου Υγείας.</w:t>
      </w:r>
    </w:p>
    <w:p>
      <w:pPr>
        <w:pStyle w:val="PreambelText"/>
        <w:spacing w:before="240" w:after="240"/>
        <w:rPr>
          <w:lang w:val="el" w:eastAsia="el"/>
        </w:rPr>
      </w:pPr>
      <w:r>
        <w:rPr>
          <w:lang w:val="el" w:eastAsia="el"/>
        </w:rPr>
        <w:t>8. Την αριθμ. Β2.α./οικ.40749/30-5-2019 εισήγηση της Γενικής Δ/νσης Οικονομικών Υπηρεσιών του Υπουργείου Υγείας, σύμφωνα με την παρ. 5 περ. ε του άρθρου 24 του ν. 4270/2014 (ΦΕΚ 143 Α’), σύμφωνα με την οποία δεν προκαλείται επιπλέον δαπάνη σε βάρος του κρατικού προϋπολογισμού και του προϋπολογισμού των Φορέων, αποφασίζουμε:</w:t>
      </w:r>
    </w:p>
    <w:p>
      <w:pPr>
        <w:pStyle w:val="PreambelText"/>
        <w:spacing w:before="240" w:after="240"/>
        <w:rPr>
          <w:lang w:val="el" w:eastAsia="el"/>
        </w:rPr>
      </w:pPr>
      <w:r>
        <w:rPr>
          <w:lang w:val="el" w:eastAsia="el"/>
        </w:rPr>
        <w:t>Τον καθορισμό προδιαγραφών και κανονισμού λειτουργίας Μονάδων Τεχνητού Νεφρού σε Κέντρα Υγείας,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 απόφαση του Υπουργού Υγείας, μετά από σχετικό αίτημα της οικείας ΥΠΕ και γνωμοδότηση του ΚΕΣΥ, εγκρίνεται η λειτουργία Μονάδας Τεχνητού Νεφρού (ΜΤΝ) σε Κέντρα Υγείας (ΚΥ) απομακρυσμένων και με ιδιαίτερες γεωγραφικές συνθήκες περιοχών, εφόσον στο πλησιέστερο Νοσοκομείο του ΕΣΥ λειτουργεί Μονάδα Τεχνητού Νεφρού. Για εξασφάλιση της ασφάλειας των ασθενών, το εν λόγω Νοσοκομείο καλύπτει τη ΜΤΝ του ΚΥ επιστημονικά και τη στηρίζει στην αντιμετώπιση οξέων προβλημάτων που προκύπτουν κατά την αιμοκάθαρση. Οι ΜΤΝ των ΚΥ λειτουργούν καθ’ όλη τη διάρκεια του έτους. Με την ίδια ως άνω απόφαση καθορίζεται ο αριθμός των μηχανημάτων που θα αναπτυχθούν καθώς και το Νοσοκομείο με το οποίο θα διασυνδεθεί επιστημονικά.</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στήριξη των ΜΤΝ των ΚΥ από τα εν λόγω Νοσοκομεία ακολουθεί το πρόγραμμα της εκ περιτροπής εφημερίας τους. Στα Νοσοκομεία, με τα οποία διασυνδέονται οι ΜΤΝ των ΚΥ, πρέπει να υπηρετούν τουλάχιστον δύο (2) Νεφρολόγοι ιατροί εκ των οποίων ένας με βαθμό Δ/ντή ή Επιμελητή Α’, να υπάρχει επαρκής σύνθεση νοσηλευτικού προσωπικού και η Μ.T.N. του ΚΥ θα μπορεί να λειτουργεί σε δύο (2) ημερήσια προγράμματα (πρωινή ή/και απογευματινή βάρδια).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Στο πλαίσιο της επιστημονικής διασύνδεσης το ιατρικό και νοσηλευτικό προσωπικό των ΜΤΝ των ΚΥ παρακολουθεί τις εκπαιδευτικές εκδηλώσεις των Νεφρολογικών Μονάδων των Νοσοκομείων διασύνδεσης, σύμφωνα με τις διαδικασίες που προβλέπονται.</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Ο συνολικός αριθμός των μηχανημάτων δεν μπορεί να είναι μικρότερος από πέντε (5), συμπεριλαμβανομένων σε αυτά ενός (1) εφεδρικού και ενός (1) μηχανήματος για αιμοκάθαρση οροθετικών για ηπατίτιδα Β ή άλλων μεταδοτικών νοσημάτων, με την προϋπόθεση της σύμφωνης γνώμης του συνδεδεμένου νοσοκομείου.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Για τις ΜΤΝ ΚΥ απαιτείται ειδικός χώρος με τα εξής χαρακτηριστικά:</w:t>
      </w:r>
    </w:p>
    <w:p>
      <w:pPr>
        <w:spacing w:before="240" w:after="240"/>
        <w:rPr>
          <w:lang w:val="el" w:eastAsia="el"/>
        </w:rPr>
      </w:pPr>
      <w:r>
        <w:rPr>
          <w:lang w:val="el" w:eastAsia="el"/>
        </w:rPr>
        <w:t>I. Χώρος Αιμοκάθαρσης</w:t>
      </w:r>
    </w:p>
    <w:p>
      <w:pPr>
        <w:pStyle w:val="StructureList1"/>
        <w:spacing w:before="120" w:after="0"/>
        <w:rPr>
          <w:lang w:val="el" w:eastAsia="el"/>
        </w:rPr>
      </w:pPr>
      <w:r>
        <w:rPr>
          <w:lang w:val="el" w:eastAsia="el"/>
        </w:rPr>
        <w:t>-</w:t>
      </w:r>
      <w:r>
        <w:rPr>
          <w:lang w:val="en" w:eastAsia="en"/>
        </w:rPr>
        <w:tab/>
      </w:r>
      <w:r>
        <w:rPr>
          <w:lang w:val="el" w:eastAsia="el"/>
        </w:rPr>
        <w:t>Ο χώρος αιμοκάθαρσης πρέπει να είναι εύκολα προσπελάσιμος και από ασθενείς που κινούνται με τροχήλατα αναπηρικά καροτσάκια και ευρύχωρος για την εύκολη διακίνηση των ασθενών, του νοσηλευτικού και του βοηθητικού προσωπικού. Επιπρόσθετα διαμέσου του κύριου αυτού χώρου θα πρέπει να είναι δυνατή και η κίνηση φορείου.</w:t>
      </w:r>
    </w:p>
    <w:p>
      <w:pPr>
        <w:pStyle w:val="StructureList1"/>
        <w:spacing w:before="120" w:after="0"/>
        <w:rPr>
          <w:lang w:val="el" w:eastAsia="el"/>
        </w:rPr>
      </w:pPr>
      <w:r>
        <w:rPr>
          <w:lang w:val="el" w:eastAsia="el"/>
        </w:rPr>
        <w:t>-</w:t>
      </w:r>
      <w:r>
        <w:rPr>
          <w:lang w:val="en" w:eastAsia="en"/>
        </w:rPr>
        <w:tab/>
      </w:r>
      <w:r>
        <w:rPr>
          <w:lang w:val="el" w:eastAsia="el"/>
        </w:rPr>
        <w:t>Ο χώρος αιμοκάθαρσης θα πρέπει να διαθέτει σύστημα εξαερισμού και σύστημα κλιματισμού (θερμού - ψυχρού).</w:t>
      </w:r>
    </w:p>
    <w:p>
      <w:pPr>
        <w:pStyle w:val="StructureList1"/>
        <w:spacing w:before="120" w:after="0"/>
        <w:rPr>
          <w:lang w:val="el" w:eastAsia="el"/>
        </w:rPr>
      </w:pPr>
      <w:r>
        <w:rPr>
          <w:lang w:val="el" w:eastAsia="el"/>
        </w:rPr>
        <w:t>-</w:t>
      </w:r>
      <w:r>
        <w:rPr>
          <w:lang w:val="en" w:eastAsia="en"/>
        </w:rPr>
        <w:tab/>
      </w:r>
      <w:r>
        <w:rPr>
          <w:lang w:val="el" w:eastAsia="el"/>
        </w:rPr>
        <w:t>Το εμβαδόν του κύριου χώρου αιμοκάθαρσης δεν πρέπει να είναι μικρότερο από 7 τετραγωνικά μέτρα ανά μηχάνημα.</w:t>
      </w:r>
    </w:p>
    <w:p>
      <w:pPr>
        <w:pStyle w:val="StructureList1"/>
        <w:spacing w:before="120" w:after="0"/>
        <w:rPr>
          <w:lang w:val="el" w:eastAsia="el"/>
        </w:rPr>
      </w:pPr>
      <w:r>
        <w:rPr>
          <w:lang w:val="el" w:eastAsia="el"/>
        </w:rPr>
        <w:t>-</w:t>
      </w:r>
      <w:r>
        <w:rPr>
          <w:lang w:val="en" w:eastAsia="en"/>
        </w:rPr>
        <w:tab/>
      </w:r>
      <w:r>
        <w:rPr>
          <w:lang w:val="el" w:eastAsia="el"/>
        </w:rPr>
        <w:t>Για την εξυπηρέτηση ασθενών οροθετικών για ηπατίτιδα Β ή άλλων μεταδοτικών νοσημάτων διατίθεται απομονωμένος χώρος έως 14 τετραγωνικά μέτρα (με ένα ή δύο το πολύ μηχανήματα). Στο χώρο αυτό θα πρέπει να υπάρχει νιπτήρας για το πλύσιμο των εργαλείων και ράφια για τη φύλαξη αναλώσιμου υλικού.</w:t>
      </w:r>
    </w:p>
    <w:p>
      <w:pPr>
        <w:pStyle w:val="StructureList1"/>
        <w:spacing w:before="120" w:after="0"/>
        <w:rPr>
          <w:lang w:val="el" w:eastAsia="el"/>
        </w:rPr>
      </w:pPr>
      <w:r>
        <w:rPr>
          <w:lang w:val="el" w:eastAsia="el"/>
        </w:rPr>
        <w:t>-</w:t>
      </w:r>
      <w:r>
        <w:rPr>
          <w:lang w:val="en" w:eastAsia="en"/>
        </w:rPr>
        <w:tab/>
      </w:r>
      <w:r>
        <w:rPr>
          <w:lang w:val="el" w:eastAsia="el"/>
        </w:rPr>
        <w:t>Χώρος με δύο κλίνες, ολιγόχρονης παραμονής ασθενούς για την αντιμετώπιση αιφνίδιου προβλήματος.</w:t>
      </w:r>
    </w:p>
    <w:p>
      <w:pPr>
        <w:spacing w:before="240" w:after="240"/>
        <w:rPr>
          <w:lang w:val="el" w:eastAsia="el"/>
        </w:rPr>
      </w:pPr>
      <w:r>
        <w:rPr>
          <w:lang w:val="el" w:eastAsia="el"/>
        </w:rPr>
        <w:t>II. Λοιποί χώροι ΜΤΝ ΚΥ:</w:t>
      </w:r>
    </w:p>
    <w:p>
      <w:pPr>
        <w:pStyle w:val="StructureList1"/>
        <w:spacing w:before="120" w:after="0"/>
        <w:rPr>
          <w:lang w:val="el" w:eastAsia="el"/>
        </w:rPr>
      </w:pPr>
      <w:r>
        <w:rPr>
          <w:lang w:val="el" w:eastAsia="el"/>
        </w:rPr>
        <w:t>-</w:t>
      </w:r>
      <w:r>
        <w:rPr>
          <w:lang w:val="en" w:eastAsia="en"/>
        </w:rPr>
        <w:tab/>
      </w:r>
      <w:r>
        <w:rPr>
          <w:lang w:val="el" w:eastAsia="el"/>
        </w:rPr>
        <w:t>Χώρος εγκατάστασης του συστήματος επεξεργασίας του νερού της πόλης (απιονιστής - αντίστροφη ώσμωση).</w:t>
      </w:r>
    </w:p>
    <w:p>
      <w:pPr>
        <w:pStyle w:val="StructureList1"/>
        <w:spacing w:before="120" w:after="0"/>
        <w:rPr>
          <w:lang w:val="el" w:eastAsia="el"/>
        </w:rPr>
      </w:pPr>
      <w:r>
        <w:rPr>
          <w:lang w:val="el" w:eastAsia="el"/>
        </w:rPr>
        <w:t>-</w:t>
      </w:r>
      <w:r>
        <w:rPr>
          <w:lang w:val="en" w:eastAsia="en"/>
        </w:rPr>
        <w:tab/>
      </w:r>
      <w:r>
        <w:rPr>
          <w:lang w:val="el" w:eastAsia="el"/>
        </w:rPr>
        <w:t>Χώρος αποθήκευσης υγειονομικού υλικού (φίλτρα, αρτηριοφλεβικές γραμμές, βελόνες, σύριγγες, οροί, διαλύματα αιμοκάθαρσης, φύσιγγες διπανθρακικών κ.τ.λ.).</w:t>
      </w:r>
    </w:p>
    <w:p>
      <w:pPr>
        <w:spacing w:before="240" w:after="240"/>
        <w:rPr>
          <w:lang w:val="el" w:eastAsia="el"/>
        </w:rPr>
      </w:pPr>
      <w:r>
        <w:rPr>
          <w:lang w:val="el" w:eastAsia="el"/>
        </w:rPr>
        <w:t>Τα πιο πάνω υλικά θα πρέπει να τοποθετούνται σε ράφια. Ο χώρος αυτός θα πρέπει να αερίζεται επαρκώς, να είναι ευρύχωρος και να βρίσκεται σε μέρος το οποίο τους θερινούς μήνες να διατηρείται δροσερό.</w:t>
      </w:r>
    </w:p>
    <w:p>
      <w:pPr>
        <w:pStyle w:val="StructureList1"/>
        <w:spacing w:before="120" w:after="0"/>
        <w:rPr>
          <w:lang w:val="el" w:eastAsia="el"/>
        </w:rPr>
      </w:pPr>
      <w:r>
        <w:rPr>
          <w:lang w:val="el" w:eastAsia="el"/>
        </w:rPr>
        <w:t>-</w:t>
      </w:r>
      <w:r>
        <w:rPr>
          <w:lang w:val="en" w:eastAsia="en"/>
        </w:rPr>
        <w:tab/>
      </w:r>
      <w:r>
        <w:rPr>
          <w:lang w:val="el" w:eastAsia="el"/>
        </w:rPr>
        <w:t>Αποδυτήρια ασθενών (ανδρών, γυναικών) με ειδικά ερμάρια και W.C. (ανδρών, γυναικών) και οροθετικών για ηπατίτιδα Β ασθενών ή άλλων μεταδοτικών νοσημάτων.</w:t>
      </w:r>
    </w:p>
    <w:p>
      <w:pPr>
        <w:pStyle w:val="StructureList1"/>
        <w:spacing w:before="120" w:after="0"/>
        <w:rPr>
          <w:lang w:val="el" w:eastAsia="el"/>
        </w:rPr>
      </w:pPr>
      <w:r>
        <w:rPr>
          <w:lang w:val="el" w:eastAsia="el"/>
        </w:rPr>
        <w:t>-</w:t>
      </w:r>
      <w:r>
        <w:rPr>
          <w:lang w:val="en" w:eastAsia="en"/>
        </w:rPr>
        <w:tab/>
      </w:r>
      <w:r>
        <w:rPr>
          <w:lang w:val="el" w:eastAsia="el"/>
        </w:rPr>
        <w:t>Διακριτή ευρύχωρη αίθουσα αναμονής - ανάπαυσης ασθενών με καθίσματα διπλάσια σε αριθμό των μηχανημάτων της ΜΤΝ του ΚΥ.</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Εξοπλισμός ΜΤΝ ΚΥ:</w:t>
      </w:r>
    </w:p>
    <w:p>
      <w:pPr>
        <w:pStyle w:val="StructureList1"/>
        <w:spacing w:before="120" w:after="0"/>
        <w:rPr>
          <w:lang w:val="el" w:eastAsia="el"/>
        </w:rPr>
      </w:pPr>
      <w:r>
        <w:rPr>
          <w:lang w:val="el" w:eastAsia="el"/>
        </w:rPr>
        <w:t>-</w:t>
      </w:r>
      <w:r>
        <w:rPr>
          <w:lang w:val="en" w:eastAsia="en"/>
        </w:rPr>
        <w:tab/>
      </w:r>
      <w:r>
        <w:rPr>
          <w:lang w:val="el" w:eastAsia="el"/>
        </w:rPr>
        <w:t>Μηχανήματα τεχνητού νεφρού, σύγχρονης τεχνολογίας.</w:t>
      </w:r>
    </w:p>
    <w:p>
      <w:pPr>
        <w:pStyle w:val="StructureList1"/>
        <w:spacing w:before="120" w:after="0"/>
        <w:rPr>
          <w:lang w:val="el" w:eastAsia="el"/>
        </w:rPr>
      </w:pPr>
      <w:r>
        <w:rPr>
          <w:lang w:val="el" w:eastAsia="el"/>
        </w:rPr>
        <w:t>-</w:t>
      </w:r>
      <w:r>
        <w:rPr>
          <w:lang w:val="en" w:eastAsia="en"/>
        </w:rPr>
        <w:tab/>
      </w:r>
      <w:r>
        <w:rPr>
          <w:lang w:val="el" w:eastAsia="el"/>
        </w:rPr>
        <w:t>Σύστημα επεξεργασίας του νερού της πόλης ή της περιοχής για την ετοιμασία του υγρού αιμοκάθαρσης που θα περιλαμβάνει υποχρεωτικά στη διάταξη του υποσύστημα αντίστροφης ώσμωσης.</w:t>
      </w:r>
    </w:p>
    <w:p>
      <w:pPr>
        <w:pStyle w:val="StructureList1"/>
        <w:spacing w:before="120" w:after="0"/>
        <w:rPr>
          <w:lang w:val="el" w:eastAsia="el"/>
        </w:rPr>
      </w:pPr>
      <w:r>
        <w:rPr>
          <w:lang w:val="el" w:eastAsia="el"/>
        </w:rPr>
        <w:t>-</w:t>
      </w:r>
      <w:r>
        <w:rPr>
          <w:lang w:val="en" w:eastAsia="en"/>
        </w:rPr>
        <w:tab/>
      </w:r>
      <w:r>
        <w:rPr>
          <w:lang w:val="el" w:eastAsia="el"/>
        </w:rPr>
        <w:t>Ηλεκτροπαραγωγό ζεύγος (γεννήτρια ηλεκτρικού ρεύματος) για την εξασφάλιση της λειτουργίας των μηχανημάτων σε περίπτωση βλάβης.</w:t>
      </w:r>
    </w:p>
    <w:p>
      <w:pPr>
        <w:pStyle w:val="StructureList1"/>
        <w:spacing w:before="120" w:after="0"/>
        <w:rPr>
          <w:lang w:val="el" w:eastAsia="el"/>
        </w:rPr>
      </w:pPr>
      <w:r>
        <w:rPr>
          <w:lang w:val="el" w:eastAsia="el"/>
        </w:rPr>
        <w:t>-</w:t>
      </w:r>
      <w:r>
        <w:rPr>
          <w:lang w:val="en" w:eastAsia="en"/>
        </w:rPr>
        <w:tab/>
      </w:r>
      <w:r>
        <w:rPr>
          <w:lang w:val="el" w:eastAsia="el"/>
        </w:rPr>
        <w:t>Ηλεκτροκαρδιογράφος</w:t>
      </w:r>
    </w:p>
    <w:p>
      <w:pPr>
        <w:pStyle w:val="StructureList1"/>
        <w:spacing w:before="120" w:after="0"/>
        <w:rPr>
          <w:lang w:val="el" w:eastAsia="el"/>
        </w:rPr>
      </w:pPr>
      <w:r>
        <w:rPr>
          <w:lang w:val="el" w:eastAsia="el"/>
        </w:rPr>
        <w:t>-</w:t>
      </w:r>
      <w:r>
        <w:rPr>
          <w:lang w:val="en" w:eastAsia="en"/>
        </w:rPr>
        <w:tab/>
      </w:r>
      <w:r>
        <w:rPr>
          <w:lang w:val="el" w:eastAsia="el"/>
        </w:rPr>
        <w:t>Απινιδωτής</w:t>
      </w:r>
    </w:p>
    <w:p>
      <w:pPr>
        <w:pStyle w:val="StructureList1"/>
        <w:spacing w:before="120" w:after="0"/>
        <w:rPr>
          <w:lang w:val="el" w:eastAsia="el"/>
        </w:rPr>
      </w:pPr>
      <w:r>
        <w:rPr>
          <w:lang w:val="el" w:eastAsia="el"/>
        </w:rPr>
        <w:t>-</w:t>
      </w:r>
      <w:r>
        <w:rPr>
          <w:lang w:val="en" w:eastAsia="en"/>
        </w:rPr>
        <w:tab/>
      </w:r>
      <w:r>
        <w:rPr>
          <w:lang w:val="el" w:eastAsia="el"/>
        </w:rPr>
        <w:t>Σετ διασωλήνωσης και ανάνηψης</w:t>
      </w:r>
    </w:p>
    <w:p>
      <w:pPr>
        <w:pStyle w:val="StructureList1"/>
        <w:spacing w:before="120" w:after="0"/>
        <w:rPr>
          <w:lang w:val="el" w:eastAsia="el"/>
        </w:rPr>
      </w:pPr>
      <w:r>
        <w:rPr>
          <w:lang w:val="el" w:eastAsia="el"/>
        </w:rPr>
        <w:t>-</w:t>
      </w:r>
      <w:r>
        <w:rPr>
          <w:lang w:val="en" w:eastAsia="en"/>
        </w:rPr>
        <w:tab/>
      </w:r>
      <w:r>
        <w:rPr>
          <w:lang w:val="el" w:eastAsia="el"/>
        </w:rPr>
        <w:t>Συσκευή αναρρόφησης</w:t>
      </w:r>
    </w:p>
    <w:p>
      <w:pPr>
        <w:pStyle w:val="StructureList1"/>
        <w:spacing w:before="120" w:after="0"/>
        <w:rPr>
          <w:lang w:val="el" w:eastAsia="el"/>
        </w:rPr>
      </w:pPr>
      <w:r>
        <w:rPr>
          <w:lang w:val="el" w:eastAsia="el"/>
        </w:rPr>
        <w:t>-</w:t>
      </w:r>
      <w:r>
        <w:rPr>
          <w:lang w:val="en" w:eastAsia="en"/>
        </w:rPr>
        <w:tab/>
      </w:r>
      <w:r>
        <w:rPr>
          <w:lang w:val="el" w:eastAsia="el"/>
        </w:rPr>
        <w:t>Σύστημα παροχής οξυγόνου ανά κλίνη ή αυτόνομες συσκευές παροχής οξυγόνου (τουλάχιστον 2)</w:t>
      </w:r>
    </w:p>
    <w:p>
      <w:pPr>
        <w:pStyle w:val="StructureList1"/>
        <w:spacing w:before="120" w:after="0"/>
        <w:rPr>
          <w:lang w:val="el" w:eastAsia="el"/>
        </w:rPr>
      </w:pPr>
      <w:r>
        <w:rPr>
          <w:lang w:val="el" w:eastAsia="el"/>
        </w:rPr>
        <w:t>-</w:t>
      </w:r>
      <w:r>
        <w:rPr>
          <w:lang w:val="en" w:eastAsia="en"/>
        </w:rPr>
        <w:tab/>
      </w:r>
      <w:r>
        <w:rPr>
          <w:lang w:val="el" w:eastAsia="el"/>
        </w:rPr>
        <w:t>Ανθρωποζυγός ακριβείας</w:t>
      </w:r>
    </w:p>
    <w:p>
      <w:pPr>
        <w:pStyle w:val="StructureList1"/>
        <w:spacing w:before="120" w:after="0"/>
        <w:rPr>
          <w:lang w:val="el" w:eastAsia="el"/>
        </w:rPr>
      </w:pPr>
      <w:r>
        <w:rPr>
          <w:lang w:val="el" w:eastAsia="el"/>
        </w:rPr>
        <w:t>-</w:t>
      </w:r>
      <w:r>
        <w:rPr>
          <w:lang w:val="en" w:eastAsia="en"/>
        </w:rPr>
        <w:tab/>
      </w:r>
      <w:r>
        <w:rPr>
          <w:lang w:val="el" w:eastAsia="el"/>
        </w:rPr>
        <w:t>Αναλυτής ηλεκτρολυτών</w:t>
      </w:r>
    </w:p>
    <w:p>
      <w:pPr>
        <w:pStyle w:val="StructureList1"/>
        <w:spacing w:before="120" w:after="0"/>
        <w:rPr>
          <w:lang w:val="el" w:eastAsia="el"/>
        </w:rPr>
      </w:pPr>
      <w:r>
        <w:rPr>
          <w:lang w:val="el" w:eastAsia="el"/>
        </w:rPr>
        <w:t>-</w:t>
      </w:r>
      <w:r>
        <w:rPr>
          <w:lang w:val="en" w:eastAsia="en"/>
        </w:rPr>
        <w:tab/>
      </w:r>
      <w:r>
        <w:rPr>
          <w:lang w:val="el" w:eastAsia="el"/>
        </w:rPr>
        <w:t>Φορείο για τη μεταφορά επείγοντος περιστατικού</w:t>
      </w:r>
    </w:p>
    <w:p>
      <w:pPr>
        <w:pStyle w:val="StructureList1"/>
        <w:spacing w:before="120" w:after="0"/>
        <w:rPr>
          <w:lang w:val="el" w:eastAsia="el"/>
        </w:rPr>
      </w:pPr>
      <w:r>
        <w:rPr>
          <w:lang w:val="el" w:eastAsia="el"/>
        </w:rPr>
        <w:t>-</w:t>
      </w:r>
      <w:r>
        <w:rPr>
          <w:lang w:val="en" w:eastAsia="en"/>
        </w:rPr>
        <w:tab/>
      </w:r>
      <w:r>
        <w:rPr>
          <w:lang w:val="el" w:eastAsia="el"/>
        </w:rPr>
        <w:t>Τροχήλατη καρέκλα μεταφοράς ασθενούς</w:t>
      </w:r>
    </w:p>
    <w:p>
      <w:pPr>
        <w:pStyle w:val="StructureList1"/>
        <w:spacing w:before="120" w:after="0"/>
        <w:rPr>
          <w:lang w:val="el" w:eastAsia="el"/>
        </w:rPr>
      </w:pPr>
      <w:r>
        <w:rPr>
          <w:lang w:val="el" w:eastAsia="el"/>
        </w:rPr>
        <w:t>-</w:t>
      </w:r>
      <w:r>
        <w:rPr>
          <w:lang w:val="en" w:eastAsia="en"/>
        </w:rPr>
        <w:tab/>
      </w:r>
      <w:r>
        <w:rPr>
          <w:lang w:val="el" w:eastAsia="el"/>
        </w:rPr>
        <w:t>Κάθε ΜΤΝ ΚΥ οφείλει να διαθέτει ασθενοφόρο όχημα για τη μεταφορά επειγόντων περιστατικών.</w:t>
      </w:r>
    </w:p>
    <w:p>
      <w:pPr>
        <w:spacing w:before="240" w:after="240"/>
        <w:rPr>
          <w:lang w:val="el" w:eastAsia="el"/>
        </w:rPr>
      </w:pPr>
      <w:r>
        <w:rPr>
          <w:lang w:val="el" w:eastAsia="el"/>
        </w:rPr>
        <w:t>Για την εξασφάλιση της καλής λειτουργικής κατάστασης των μηχανημάτων αιμοκάθαρσης, οι νεφρολόγοι της ΜΤΝ ΚΥ έχουν την ευθύνη της παρακολούθησης αυτής, ενώ ο Επιστημονικά Υπεύθυνος του ΚΥ έχει την ευθύνη τήρησης των απαραίτητων ενεργειών για την έγκαιρη συντήρηση και επισκευή αυτών. Εργαστηριακή υποστήριξη ΜΤΝ ΚΥ:</w:t>
      </w:r>
    </w:p>
    <w:p>
      <w:pPr>
        <w:spacing w:before="240" w:after="240"/>
        <w:rPr>
          <w:lang w:val="el" w:eastAsia="el"/>
        </w:rPr>
      </w:pPr>
      <w:r>
        <w:rPr>
          <w:lang w:val="el" w:eastAsia="el"/>
        </w:rPr>
        <w:t>Κάθε ΜΤΝ ΚΥ υποχρεούται να καλύπτει τις έκτακτες ανάγκες των ασθενών για εργαστηριακές εξετάσεις και να τηρεί αρχείο των τακτικών μηνιαίων και ετήσιων εργαστηριακών και ακτινολογικών εξετάσεων των ασθενών.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Το προσωπικό των ΜΤΝ ΚΥ διακρίνεται σε Ιατρικό και Νοσηλευτικό.</w:t>
      </w:r>
    </w:p>
    <w:p>
      <w:pPr>
        <w:spacing w:before="240" w:after="240"/>
        <w:rPr>
          <w:lang w:val="el" w:eastAsia="el"/>
        </w:rPr>
      </w:pPr>
      <w:r>
        <w:rPr>
          <w:lang w:val="el" w:eastAsia="el"/>
        </w:rPr>
        <w:t>Ιατρικό προσωπικό: Η ΜΤΝ ΚΥ στελεχώνεται με ιατρούς Νεφρολόγους (κατ’ ελάχιστον δύο), εκ των οποίων ο ένας πρέπει να διαθέτει τουλάχιστον 5ετή εμπειρία στην αιμοκάθαρση. Κατά την διάρκεια της βάρδιας - χρήσης μηχανημάτων είναι υποχρεωτική η παρουσία τουλάχιστον ενός εξ αυτών.</w:t>
      </w:r>
    </w:p>
    <w:p>
      <w:pPr>
        <w:spacing w:before="240" w:after="240"/>
        <w:rPr>
          <w:lang w:val="el" w:eastAsia="el"/>
        </w:rPr>
      </w:pPr>
      <w:r>
        <w:rPr>
          <w:lang w:val="el" w:eastAsia="el"/>
        </w:rPr>
        <w:t>Νοσηλευτικό προσωπικό: Η ΜΤΝ ΚΥ στελεχώνεται κατ’ελάχιστον με δύο (2) νοσηλεύτριες/τές και με αναλογία μία/ένας (1) για κάθε 3-4 αιμοκαθαιρόμενους ασθενείς ανά βάρδια. Τουλάχιστον μια/ένας (1) εξ αυτών πρέπει να έχει την κατά Νόμο εξειδίκευση στη Νοσηλευτική Νεφρολογία ή τουλάχιστον εξάμηνη προϋπηρεσία στην αιμοκάθαρση.</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Οι ΜΤΝ ΚΥ υποχρεούνται να τηρούν αρχείο ασθενών και με ευθύνη των Νεφρολόγων να ενημερώνουν την Υπηρεσία Συντονισμού Ελέγχου (ΥΣΕ) για την ένταξη και τις μεταβολές κάθε ασθενή ανά 6μηνο. Για τους ασθενείς οι οποίοι υποβάλλονται σε αιμοκάθαρση για περιορισμένο χρονικό διάστημα (περιστασιακά για τουρισμό κ.λπ.) θα στέλνεται μηνιαία κατάσταση των ασθενών στην Υπηρεσία Συντονισμού Ελέγχου (ΥΣΕ) όπου θα αναγράφεται το ονοματεπώνυμο, η χώρα προέλευσης, ο ασφαλιστικός φορέας του ασθενή, ο αριθμός συνεδριών στις οποίες υποβλήθηκε ο ασθενής και η Μ.Τ.Ν. από την οποία προέρχεται ο ασθενής.</w:t>
      </w:r>
    </w:p>
    <w:p>
      <w:pPr>
        <w:pStyle w:val="MainText"/>
        <w:spacing w:before="120" w:after="0"/>
        <w:rPr>
          <w:lang w:val="el" w:eastAsia="el"/>
        </w:rPr>
      </w:pPr>
      <w:r>
        <w:rPr>
          <w:b/>
          <w:bCs/>
          <w:lang w:val="el" w:eastAsia="el"/>
        </w:rPr>
        <w:t>2.</w:t>
      </w:r>
      <w:r>
        <w:rPr>
          <w:lang w:val="el" w:eastAsia="el"/>
        </w:rPr>
        <w:t xml:space="preserve"> Κάθε ΜΤΝ ΚΥ υποχρεούται να τηρεί ιατρικό φάκελο κάθε τακτικού ασθενούς με το ιστορικό και τις τακτικές εργαστηριακές και ακτινολογικές εξετάσεις, το νοσηλευτικό φύλλο αιμοκάθαρσης και να καλύπτει τις έκτακτες ανάγκες των ασθενών για εργαστηριακές εξετάσεις.</w:t>
      </w:r>
    </w:p>
    <w:p>
      <w:pPr>
        <w:pStyle w:val="MainText"/>
        <w:spacing w:before="120" w:after="0"/>
        <w:rPr>
          <w:lang w:val="el" w:eastAsia="el"/>
        </w:rPr>
      </w:pPr>
      <w:r>
        <w:rPr>
          <w:b/>
          <w:bCs/>
          <w:lang w:val="el" w:eastAsia="el"/>
        </w:rPr>
        <w:t>3.</w:t>
      </w:r>
      <w:r>
        <w:rPr>
          <w:lang w:val="el" w:eastAsia="el"/>
        </w:rPr>
        <w:t xml:space="preserve"> Κάθε ΜΤΝ ΚΥ υποχρεούται να εφοδιάζει τους ασθενείς με ενημερωτικό ιατρικό σημείωμα σε περιπτώσεις έκτακτης ή προγραμματισμένης διακομιδής ή μετακίνησης.</w:t>
      </w:r>
    </w:p>
    <w:p>
      <w:pPr>
        <w:pStyle w:val="MainText"/>
        <w:spacing w:before="120" w:after="0"/>
        <w:rPr>
          <w:lang w:val="el" w:eastAsia="el"/>
        </w:rPr>
      </w:pPr>
      <w:r>
        <w:rPr>
          <w:b/>
          <w:bCs/>
          <w:lang w:val="el" w:eastAsia="el"/>
        </w:rPr>
        <w:t>4.</w:t>
      </w:r>
      <w:r>
        <w:rPr>
          <w:lang w:val="el" w:eastAsia="el"/>
        </w:rPr>
        <w:t xml:space="preserve"> Το Ιατρικό και Νοσηλευτικό των ΜΤΝ ΚΥ που δεν έχει φυσικά αντισώματα κατά του ιού της ηπατίτιδας Β, δεν μπορεί να εργαστεί στη μονάδα αν προηγουμένως δεν έχει εμβολιαστεί. Τούτο αποδεικνύεται με έγγραφη βεβαίωση περί του εμβολιασμού που ελέγχεται κάθε φορά σύμφωνα με τις ισχύουσες υγειονομικές διατάξεις. Επιπρόσθετα στη Μονάδα δεν μπορεί να εργάζεται Ιατρικό, Νοσηλευτικό και Βοηθητικό προσωπικό που είναι φορέας Ηπατίτιδας Β ή Ηπατίτιδας C ή του ιού ΗΙV.</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Ιουνίου 2019</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ΑΝΔΡΕΑΣ ΞΑΝΘΟΣ</w:t>
      </w:r>
    </w:p>
    <w:p>
      <w:pPr>
        <w:spacing w:before="240" w:after="240"/>
        <w:rPr>
          <w:lang w:val="el" w:eastAsia="el"/>
        </w:rPr>
      </w:pPr>
      <w:r>
        <w:rPr>
          <w:b/>
          <w:bCs/>
          <w:lang w:val="el" w:eastAsia="el"/>
        </w:rPr>
        <w:t>I</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