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w:t>
      </w:r>
      <w:r>
        <w:rPr>
          <w:lang w:val="el" w:eastAsia="el"/>
        </w:rPr>
        <w:t>Ω6ΩΟ46ΜΠ3Ζ-42Α</w:t>
      </w:r>
    </w:p>
    <w:p>
      <w:pPr>
        <w:spacing w:before="240" w:after="240"/>
        <w:rPr>
          <w:lang w:val="el" w:eastAsia="el"/>
        </w:rPr>
      </w:pPr>
      <w:r>
        <w:rPr>
          <w:b/>
          <w:bCs/>
          <w:lang w:val="el" w:eastAsia="el"/>
        </w:rPr>
        <w:t>Αριθ. ΦΕΚ:2985 Β /19/07/2019 - 00:00</w:t>
      </w:r>
    </w:p>
    <w:p>
      <w:pPr>
        <w:spacing w:before="240" w:after="240"/>
        <w:rPr>
          <w:lang w:val="el" w:eastAsia="el"/>
        </w:rPr>
      </w:pPr>
      <w:r>
        <w:rPr>
          <w:b/>
          <w:bCs/>
          <w:lang w:val="el" w:eastAsia="el"/>
        </w:rPr>
        <w:t>Αθήνα, 12 Ιουλίου 2019</w:t>
      </w:r>
    </w:p>
    <w:p>
      <w:pPr>
        <w:spacing w:before="240" w:after="240"/>
        <w:rPr>
          <w:lang w:val="el" w:eastAsia="el"/>
        </w:rPr>
      </w:pPr>
      <w:r>
        <w:rPr>
          <w:b/>
          <w:bCs/>
          <w:lang w:val="el" w:eastAsia="el"/>
        </w:rPr>
        <w:t>A.1277</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Τροποποίηση της Απόφασης Γ.Γ.Δ.Ε. ΠΟΛ 1274/2013 (ΦΕΚ Β΄3398)</w:t>
      </w:r>
    </w:p>
    <w:p>
      <w:pPr>
        <w:spacing w:before="240" w:after="240"/>
        <w:rPr>
          <w:lang w:val="el" w:eastAsia="el"/>
        </w:rPr>
      </w:pPr>
      <w:r>
        <w:rPr>
          <w:b/>
          <w:bCs/>
          <w:lang w:val="el" w:eastAsia="el"/>
        </w:rPr>
        <w:t>περί αποδεικτικού ενημερότητας του άρθρου 12 του ν.4174/2013.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12 του ν.4174/2013 (ΦΕΚ Α΄170), όπως ισχύουν.</w:t>
      </w:r>
    </w:p>
    <w:p>
      <w:pPr>
        <w:spacing w:before="240" w:after="240"/>
        <w:rPr>
          <w:lang w:val="el" w:eastAsia="el"/>
        </w:rPr>
      </w:pPr>
      <w:r>
        <w:rPr>
          <w:lang w:val="el" w:eastAsia="el"/>
        </w:rPr>
        <w:t>2. Τις διατάξεις του ν.4174/2013 (ΦΕΚ Α΄170), όπως ισχύουν.</w:t>
      </w:r>
    </w:p>
    <w:p>
      <w:pPr>
        <w:spacing w:before="240" w:after="240"/>
        <w:rPr>
          <w:lang w:val="el" w:eastAsia="el"/>
        </w:rPr>
      </w:pPr>
      <w:r>
        <w:rPr>
          <w:lang w:val="el" w:eastAsia="el"/>
        </w:rPr>
        <w:t>3. Την Απόφαση Γενικού Γραμματέα Δημοσίων Εσόδων ΠΟΛ 1274/27.12.2013 (ΦΕΚ Β΄3398) περί αποδεικτικού ενημερότητας, όπως ισχύει.</w:t>
      </w:r>
    </w:p>
    <w:p>
      <w:pPr>
        <w:spacing w:before="240" w:after="240"/>
        <w:rPr>
          <w:lang w:val="el" w:eastAsia="el"/>
        </w:rPr>
      </w:pPr>
      <w:r>
        <w:rPr>
          <w:lang w:val="el" w:eastAsia="el"/>
        </w:rPr>
        <w:t>4. Τις διατάξεις του Κεφαλαίου Α΄ «Σύσταση Ανεξάρτητης Αρχής Δημοσίων Εσόδων» του Μέρους Πρώτου του ν. 4389/2016 (ΦΕΚ Α’ 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5. Τις διατάξεις της υποπαραγράφου Ε2 της παραγράφου Ε του πρώτου άρθρου του ν. 4093/2012 (ΦΕΚ Α΄ 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6.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αριθμ.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7. Την αριθμ. Δ. ΟΡΓ. Α 1036960 ΕΞ 2017/10.03.2017 Απόφαση του Διοικητή της ΑΑΔΕ «Οργανισμός της Ανεξάρτητης Αρχής Δημοσίων Εσόδων (Α.Α.Δ.Ε.)» (ΦΕΚ Β’ 968), όπως ισχύει.</w:t>
      </w:r>
    </w:p>
    <w:p>
      <w:pPr>
        <w:spacing w:before="240" w:after="240"/>
        <w:rPr>
          <w:lang w:val="el" w:eastAsia="el"/>
        </w:rPr>
      </w:pPr>
      <w:r>
        <w:rPr>
          <w:lang w:val="el" w:eastAsia="el"/>
        </w:rPr>
        <w:t>8. Την ανάγκη διευκόλυνσης των φορολογουμένων πολιτών, για την χορήγηση αποδεικτικού ενημερότητας μέσω διαδικτυακής εφαρμογής.</w:t>
      </w:r>
    </w:p>
    <w:p>
      <w:pPr>
        <w:spacing w:before="240" w:after="240"/>
        <w:rPr>
          <w:lang w:val="el" w:eastAsia="el"/>
        </w:rPr>
      </w:pPr>
      <w:r>
        <w:rPr>
          <w:lang w:val="el" w:eastAsia="el"/>
        </w:rPr>
        <w:t>9. 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Η περ. β της παρ. 2 του άρθρου 6 της κατ’ εξουσιοδότησης του άρθρου 12 του ν.4174/2013 Απόφασης ΓΓΔΕ ΠΟΛ 1274/2013 (ΦΕΚ Β΄ 3398) αντικαθίσταται ως εξής :</w:t>
      </w:r>
    </w:p>
    <w:p>
      <w:pPr>
        <w:spacing w:before="240" w:after="240"/>
        <w:rPr>
          <w:lang w:val="el" w:eastAsia="el"/>
        </w:rPr>
      </w:pPr>
      <w:r>
        <w:rPr>
          <w:lang w:val="el" w:eastAsia="el"/>
        </w:rPr>
        <w:t>«β. Στα αποδεικτικά μηνιαίας ισχύος που εκδίδονται για μεταβίβαση ακινήτου ή σύσταση εμπράγματου δικαιώματος επ΄ αυτού, το ακίνητο το οποίο θα μεταβιβαστεί ή επί του οποίου θα συσταθεί εμπράγματο δικαίωμα με τον αριθμό ταυτότητας ακινήτου (Α.Τ.ΑΚ) εφόσον υφίσταται. Στις περιπτώσεις ύπαρξης α) συνολικών βεβαιωμένων μη ληξιπρόθεσμων οφειλών έως και πέντε χιλιάδες (5.000) ευρώ και εφόσον δεν εκκρεμεί εντολή ελέγχου για τον αιτούντα ή και για το νομικό πρόσωπο για οφειλές του οποίου ο αιτών το αποδεικτικό έχει ευθύνη καταβολής σύμφωνα με τις ισχύουσες διατάξεις και β) συνολικών βεβαιωμένων και ληξιπρόθεσμων οφειλών έως και τριάντα (30) ευρώ, δεν απαιτείται η αναγραφή του ακινήτου. Στις περιπτώσεις αυτές, η αναγραφή του ακινήτου δεν απαιτείται και στη σχετική αίτηση που υποβάλλεται σύμφωνα με το προηγούμενο άρθρο.».</w:t>
      </w:r>
    </w:p>
    <w:p>
      <w:pPr>
        <w:spacing w:before="240" w:after="240"/>
        <w:rPr>
          <w:lang w:val="el" w:eastAsia="el"/>
        </w:rPr>
      </w:pPr>
      <w:r>
        <w:rPr>
          <w:lang w:val="el" w:eastAsia="el"/>
        </w:rPr>
        <w:t>Η παρούσα απόφαση ισχύει από 1.9.2019.</w:t>
      </w:r>
    </w:p>
    <w:p>
      <w:pPr>
        <w:spacing w:before="240" w:after="240"/>
        <w:rPr>
          <w:lang w:val="el" w:eastAsia="el"/>
        </w:rPr>
      </w:pPr>
      <w:r>
        <w:rPr>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ΔΙΟΙΚΗΤΗΣΤΗΣ ΑΝΕΞΑΡΤΗΤΗΣ 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Ηλεκτρονικής Διακυβέρνησης.</w:t>
      </w:r>
    </w:p>
    <w:p>
      <w:pPr>
        <w:spacing w:before="240" w:after="240"/>
        <w:rPr>
          <w:lang w:val="el" w:eastAsia="el"/>
        </w:rPr>
      </w:pPr>
      <w:r>
        <w:rPr>
          <w:lang w:val="el" w:eastAsia="el"/>
        </w:rPr>
        <w:t>5. Δ/νση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Αποδέκτες πίνακα Α, Β, Δ, ΣΤ, Ζ, Η, Ι, Συμβολαιογραφικοί Σύλλογοι.</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Όλες τις Διευθύνσεις, Τμήματα και Ανεξάρτητα Γραφεία του Υπουργείου Οικονομικών</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