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I. </w:t>
      </w: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ΓΡΑΦΕΙΟ ΥΠΟΥΡΓΟΥ</w:t>
      </w:r>
    </w:p>
    <w:p>
      <w:pPr>
        <w:pStyle w:val="Title"/>
        <w:spacing w:before="120" w:after="360"/>
        <w:rPr>
          <w:lang w:val="el" w:eastAsia="el"/>
        </w:rPr>
      </w:pPr>
      <w:r>
        <w:rPr>
          <w:lang w:val="el" w:eastAsia="el"/>
        </w:rPr>
        <w:t xml:space="preserve">2. </w:t>
      </w:r>
      <w:r>
        <w:rPr>
          <w:b/>
          <w:bCs/>
          <w:lang w:val="el" w:eastAsia="el"/>
        </w:rPr>
        <w:t>ΓΡΑΦΕΙΟ ΥΦΥΠΟΥΡΓΟΥ</w:t>
      </w:r>
    </w:p>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2. 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ΝΟΜΙΚΩΝ 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75 311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d12.b@yo.syzefxis.gov.gr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Θέμα: Καθορισμός των μη συνεργάσιμων κρατών για το φορολογικό έτος 2019 δυνάμει της εξουσιοδοτικής διάταξης της παρ. 4 και των κριτηρίων της παρ.3 σε συνδυασμό με τις παρ.1, 2 4 και 5 του άρθρου 65 του ν.4172/2013.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O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65 του ν. 4172/2013 (Α’ 167) σε συνδυασμό με τις παρ. 1, 2 3, και 5 του ίδιου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29 της Σύμβασης του Συμβουλίου της Ευρώπης και του ΟΟΣΑ (Σύμβαση) αναφορικά με την εδαφική εφαρμογή και επέκτασή της με δηλώσεις που κατατίθενται σε έναν από τους δύο θεματοφύλακες από τα προσχωρήσαντα Κράτη στη Σύμβαση σε συνδυασμό με τις διατάξεις του άρθρου 28 παρ. 1, 2, 3, 4 και 5 της ίδιας Σύμβασης σχετικά με την αμοιβαία διοικητική συνδρομή σε φορολογικά θέματα,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142/2017 «Οργανισμός του Υπουργείου Οικονομικών» (Α' 181),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ιδίως του άρθρου 14 του ίδιου νόμου.</w:t>
      </w:r>
    </w:p>
    <w:p>
      <w:pPr>
        <w:spacing w:before="240" w:after="240"/>
        <w:rPr>
          <w:lang w:val="el" w:eastAsia="el"/>
        </w:rPr>
      </w:pPr>
      <w:r>
        <w:rPr>
          <w:b/>
          <w:bCs/>
          <w:lang w:val="el" w:eastAsia="el"/>
        </w:rPr>
        <w:t xml:space="preserve">2. Τα μέλη του Παγκόσμιου Φόρουμ για την Διαφάνεια και την Ανταλλαγή Πληροφοριών για Φορολογικούς Σκοπούς του ΟΟΣΑ </w:t>
      </w:r>
      <w:r>
        <w:rPr>
          <w:b/>
          <w:bCs/>
          <w:i/>
          <w:iCs/>
          <w:lang w:val="el" w:eastAsia="el"/>
        </w:rPr>
        <w:t>(Global Forum on Transparency and Exchange of Informaton for Tax Purposes)</w:t>
      </w:r>
      <w:r>
        <w:rPr>
          <w:b/>
          <w:bCs/>
          <w:lang w:val="el" w:eastAsia="el"/>
        </w:rPr>
        <w:t xml:space="preserve"> βλ.</w:t>
      </w:r>
      <w:hyperlink r:id="rId6" w:history="1">
        <w:r>
          <w:rPr>
            <w:rStyle w:val="Hyperlink"/>
            <w:b/>
            <w:bCs/>
            <w:color w:val="0000EE"/>
            <w:u w:color="0000EE"/>
            <w:lang w:val="el" w:eastAsia="el"/>
          </w:rPr>
          <w:t>http://www.oecd.org/tax/transparency/about-the-global-forum/members/</w:t>
        </w:r>
      </w:hyperlink>
      <w:r>
        <w:rPr>
          <w:b/>
          <w:bCs/>
          <w:lang w:val="el" w:eastAsia="el"/>
        </w:rPr>
        <w:t xml:space="preserve">) σε συνδυασμό με την Έκθεση του Παγκόσμιου Φόρουμ </w:t>
      </w:r>
      <w:r>
        <w:rPr>
          <w:b/>
          <w:bCs/>
          <w:i/>
          <w:iCs/>
          <w:lang w:val="el" w:eastAsia="el"/>
        </w:rPr>
        <w:t>(Global Forum on Transparency and Exchange of Informaton for Tax Purposes/ Exchange of Informaton on Request/Ratngs)</w:t>
      </w:r>
      <w:r>
        <w:rPr>
          <w:b/>
          <w:bCs/>
          <w:lang w:val="el" w:eastAsia="el"/>
        </w:rPr>
        <w:t xml:space="preserve"> βλ</w:t>
      </w:r>
      <w:hyperlink r:id="rId7" w:history="1">
        <w:r>
          <w:rPr>
            <w:rStyle w:val="Hyperlink"/>
            <w:b/>
            <w:bCs/>
            <w:color w:val="0000EE"/>
            <w:u w:color="0000EE"/>
            <w:lang w:val="el" w:eastAsia="el"/>
          </w:rPr>
          <w:t>.</w:t>
        </w:r>
        <w:r>
          <w:rPr>
            <w:rStyle w:val="Hyperlink"/>
            <w:b/>
            <w:bCs/>
            <w:color w:val="0000EE"/>
            <w:u w:color="0000EE"/>
            <w:lang w:val="el" w:eastAsia="el"/>
          </w:rPr>
          <w:t>http://</w:t>
        </w:r>
      </w:hyperlink>
      <w:hyperlink r:id="rId8" w:history="1">
        <w:r>
          <w:rPr>
            <w:rStyle w:val="Hyperlink"/>
            <w:b/>
            <w:bCs/>
            <w:color w:val="0000EE"/>
            <w:u w:color="0000EE"/>
            <w:lang w:val="el" w:eastAsia="el"/>
          </w:rPr>
          <w:t>www .oecd .org/tax/transparency/exchanget-of-informaton -on /request/ratngs/</w:t>
        </w:r>
      </w:hyperlink>
      <w:r>
        <w:rPr>
          <w:b/>
          <w:bCs/>
          <w:u w:val="single"/>
          <w:lang w:val="el" w:eastAsia="el"/>
        </w:rPr>
        <w:t>στην οποία αποτυπώνεται η συνολική βαθμολογία των μελών του με βάση τις ενδιάμεσες αξιολογήσεις (Peer Reviews) αναφορικά με το πρότυπο της κατόπιν αιτήματος ανταλλαγής πληροφοριών (Ιούλιος 2019).</w:t>
      </w:r>
    </w:p>
    <w:p>
      <w:pPr>
        <w:spacing w:before="240" w:after="240"/>
        <w:rPr>
          <w:lang w:val="el" w:eastAsia="el"/>
        </w:rPr>
      </w:pPr>
      <w:r>
        <w:rPr>
          <w:b/>
          <w:bCs/>
          <w:u w:val="single"/>
          <w:lang w:val="el" w:eastAsia="el"/>
        </w:rPr>
        <w:t>3. Τον από 6.8.2019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 (</w:t>
      </w:r>
      <w:r>
        <w:rPr>
          <w:b/>
          <w:bCs/>
          <w:i/>
          <w:iCs/>
          <w:u w:val="single"/>
          <w:lang w:val="el" w:eastAsia="el"/>
        </w:rPr>
        <w:t>«Jurisdictons Partcipatng in the Conventon on Mutual Administratve Assistamnce in Tax Maters»</w:t>
      </w:r>
      <w:r>
        <w:rPr>
          <w:b/>
          <w:bCs/>
          <w:u w:val="single"/>
          <w:lang w:val="el" w:eastAsia="el"/>
        </w:rPr>
        <w:t xml:space="preserve"> βλ.</w:t>
      </w:r>
      <w:hyperlink r:id="rId9" w:history="1">
        <w:r>
          <w:rPr>
            <w:rStyle w:val="Hyperlink"/>
            <w:b/>
            <w:bCs/>
            <w:color w:val="0000EE"/>
            <w:u w:color="0000EE"/>
            <w:lang w:val="el" w:eastAsia="el"/>
          </w:rPr>
          <w:t>https://www .oecd .org/tax/exchange-of-tax-</w:t>
        </w:r>
      </w:hyperlink>
      <w:hyperlink r:id="rId10" w:history="1">
        <w:r>
          <w:rPr>
            <w:rStyle w:val="Hyperlink"/>
            <w:b/>
            <w:bCs/>
            <w:color w:val="0000EE"/>
            <w:u w:color="0000EE"/>
            <w:lang w:val="el" w:eastAsia="el"/>
          </w:rPr>
          <w:t>informaton /Status of conventon .pdf</w:t>
        </w:r>
        <w:r>
          <w:rPr>
            <w:rStyle w:val="Hyperlink"/>
            <w:b/>
            <w:bCs/>
            <w:color w:val="0000EE"/>
            <w:u w:color="0000EE"/>
            <w:lang w:val="el" w:eastAsia="el"/>
          </w:rPr>
          <w:t>)</w:t>
        </w:r>
      </w:hyperlink>
    </w:p>
    <w:p>
      <w:pPr>
        <w:spacing w:before="240" w:after="240"/>
        <w:rPr>
          <w:lang w:val="el" w:eastAsia="el"/>
        </w:rPr>
      </w:pPr>
      <w:r>
        <w:rPr>
          <w:b/>
          <w:bCs/>
          <w:u w:val="single"/>
          <w:lang w:val="el" w:eastAsia="el"/>
        </w:rPr>
        <w:t>4. Τα από 5.12.2017 Συμπεράσματα του Συμβουλίου ECOFIN (έγγραφο 15429/17, FISC 345 ECOFIN 1088), σχετικά, αφενός, με τον κατάλογο της ΕΕ για τις μη συνεργάσιμες δικαιοδοσίες για φορολογικούς σκοπούς (Παράρτημα Ι), και, αφετέρου, με την κατάσταση της συνεργασίας με την ΕΕ των δικαιοδοσιών υπό εξέταση σχετικά με τις αναληφθείσες δεσμεύσεις τους για την εφαρμογή των αρχών χρηστής φορολογικής διακυβέρνησης (Παράρτημα ΙΙ), όπως δημοσιεύθηκαν στην Επίσημη Εφημερίδα της Ευρωπαϊκής Ένωσης (ΕΕ ΕΕ C 438/5/19.12.2017).</w:t>
      </w:r>
    </w:p>
    <w:p>
      <w:pPr>
        <w:spacing w:before="240" w:after="240"/>
        <w:rPr>
          <w:lang w:val="el" w:eastAsia="el"/>
        </w:rPr>
      </w:pPr>
      <w:r>
        <w:rPr>
          <w:b/>
          <w:bCs/>
          <w:u w:val="single"/>
          <w:lang w:val="el" w:eastAsia="el"/>
        </w:rPr>
        <w:t>5. Την αριθ. Δ. ΟΡΓ. Α 1036960 ΕΞ 2017/10.3.2017 (Β’ 968) απόφαση του Διοικητή της ΑΑΔΕ «Οργανισμός της Ανεξάρτητης Αρχής Δημοσίων Εσόδων (Α.Α.Δ.Ε.)».</w:t>
      </w:r>
    </w:p>
    <w:p>
      <w:pPr>
        <w:spacing w:before="240" w:after="240"/>
        <w:rPr>
          <w:lang w:val="el" w:eastAsia="el"/>
        </w:rPr>
      </w:pPr>
      <w:r>
        <w:rPr>
          <w:b/>
          <w:bCs/>
          <w:u w:val="single"/>
          <w:lang w:val="el" w:eastAsia="el"/>
        </w:rPr>
        <w:t>6. Την αριθ.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αριθ.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u w:val="single"/>
          <w:lang w:val="el" w:eastAsia="el"/>
        </w:rPr>
        <w:t>7. Την αριθ.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8. Το π.δ. 83/2019 (Α' 121) «Διορισμός Αντιπροέδρου της Κυβέρνησης, Υπουργών, Αναπληρωτών Υπουργών και Υφυπουργών».</w:t>
      </w:r>
    </w:p>
    <w:p>
      <w:pPr>
        <w:spacing w:before="240" w:after="240"/>
        <w:rPr>
          <w:lang w:val="el" w:eastAsia="el"/>
        </w:rPr>
      </w:pPr>
      <w:r>
        <w:rPr>
          <w:b/>
          <w:bCs/>
          <w:u w:val="single"/>
          <w:lang w:val="el" w:eastAsia="el"/>
        </w:rPr>
        <w:t>9. Την αριθ. 339 (Β’ 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u w:val="single"/>
          <w:lang w:val="el" w:eastAsia="el"/>
        </w:rPr>
        <w:t>10. Την Υ2/2019 (Β’ 2901) απόφαση του Πρωθυπουργού «Σύσταση θέσεων Αναπληρωτή Υπουργού και Υφυπουργών».</w:t>
      </w:r>
    </w:p>
    <w:p>
      <w:pPr>
        <w:spacing w:before="240" w:after="240"/>
        <w:rPr>
          <w:lang w:val="el" w:eastAsia="el"/>
        </w:rPr>
      </w:pPr>
      <w:r>
        <w:rPr>
          <w:b/>
          <w:bCs/>
          <w:u w:val="single"/>
          <w:lang w:val="el" w:eastAsia="el"/>
        </w:rPr>
        <w:t>11.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1. Τα μη συνεργάσιμα κράτη στο φορολογικό τομέα κατά την έννοια της παρ. 1 του άρθρου 65 του ν.4172/2013, δηλαδή κράτη ή περιοχές δικαιοδοσίας ή υπερπόντιες χώρες ή εδάφη που τελούν υπό οποιοδήποτε ειδικό καθεστώς σύνδεσης ή εξάρτησης, για το φορολογικό έτος 2019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453"/>
        <w:gridCol w:w="43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Λεσότο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Kingdom of Lesotho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Gabon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Guatemala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Βόρειας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Republic of North Macedonia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Kenya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3154"/>
        <w:gridCol w:w="2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Μαυριτανία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Μποτσουάνα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Botswana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Μπουρκίνα Φάσο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Burkina Faso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Paraguay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Trinidad and Tobago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Philippines</w:t>
            </w:r>
          </w:p>
        </w:tc>
      </w:tr>
    </w:tbl>
    <w:p>
      <w:pPr>
        <w:spacing w:before="240" w:after="240"/>
        <w:rPr>
          <w:lang w:val="el" w:eastAsia="el"/>
        </w:rPr>
      </w:pPr>
      <w:r>
        <w:rPr>
          <w:b/>
          <w:bCs/>
          <w:u w:val="single"/>
          <w:lang w:val="el" w:eastAsia="el"/>
        </w:rPr>
        <w:t>2. Από το συνδυασμό των διατάξεων των παραγράφων 1, 2, 3, 4 και 5 του άρθρου 65 του ν.4172/2013 και του ν.4153/2013, καθώς και της κατάθεσης στο Θεματοφύλακα της Πολυμερούς Σύμβασης Συμβουλίου της Ευρώπης και του ΟΟΣΑ για τη Διοικητική Συνδρομή σε Φορολογικά Θέματα (</w:t>
      </w:r>
      <w:r>
        <w:rPr>
          <w:b/>
          <w:bCs/>
          <w:i/>
          <w:iCs/>
          <w:u w:val="single"/>
          <w:lang w:val="el" w:eastAsia="el"/>
        </w:rPr>
        <w:t>Conventon on Mutual Administratve Assistance in Tax Maters/MAC),</w:t>
      </w:r>
      <w:r>
        <w:rPr>
          <w:b/>
          <w:bCs/>
          <w:u w:val="single"/>
          <w:lang w:val="el" w:eastAsia="el"/>
        </w:rPr>
        <w:t xml:space="preserve"> μη συνεργάσιμα κράτη (κράτη ή περιοχές δικαιοδοσίας ή υπερπόντιες χώρες ή εδάφη που τελούν υπό οποιοδήποτε ειδικό καθεστώς σύνδεσης ή εξάρτησης) είναι, αναφορικά με το διάστημα που περιλαμβάνεται στον ακόλουθο πίνακα, και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2225"/>
        <w:gridCol w:w="2157"/>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Διάστημα εντός του 2018 κατά το οποίο είναι μη συνεργάσιμο κράτος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1.1.2019 - 1.2.2019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Δομινικανή Δημοκρατία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Dominican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1.1.2019 - 1.12.2019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 Σαλβαδόρ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 Salvador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1.1.2019 - 1.6.2019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1.1.2019 - 1.7.2019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1.1.2019 - 1.8.2019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Jamaica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1.1.2019 - 1.3.2019</w:t>
            </w:r>
          </w:p>
        </w:tc>
      </w:tr>
    </w:tbl>
    <w:p>
      <w:pPr>
        <w:spacing w:before="240" w:after="240"/>
        <w:rPr>
          <w:lang w:val="el" w:eastAsia="el"/>
        </w:rPr>
      </w:pPr>
      <w:r>
        <w:rPr>
          <w:b/>
          <w:bCs/>
          <w:u w:val="single"/>
          <w:lang w:val="el" w:eastAsia="el"/>
        </w:rPr>
        <w:t>3. 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 (Δ.ΥΠΗ.ΔΕΔ)</w:t>
      </w:r>
    </w:p>
    <w:p>
      <w:pPr>
        <w:spacing w:before="240" w:after="240"/>
        <w:rPr>
          <w:lang w:val="el" w:eastAsia="el"/>
        </w:rPr>
      </w:pPr>
      <w:r>
        <w:rPr>
          <w:b/>
          <w:bCs/>
          <w:u w:val="single"/>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κ. Υφυπουργού</w:t>
      </w:r>
    </w:p>
    <w:p>
      <w:pPr>
        <w:spacing w:before="240" w:after="240"/>
        <w:rPr>
          <w:lang w:val="el" w:eastAsia="el"/>
        </w:rPr>
      </w:pPr>
      <w:r>
        <w:rPr>
          <w:b/>
          <w:bCs/>
          <w:u w:val="single"/>
          <w:lang w:val="el" w:eastAsia="el"/>
        </w:rPr>
        <w:t>2. Αποδέκτες για φορολογικά θέματα από τους Πίνακες Α’, Β’, Γ’, Ζ’, Η, Θ’ (μόνο η Ενιαία Αρχή Δημοσίων Συμβάσεων και ΙΒ’.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της ΑΑΔΕ</w:t>
      </w:r>
    </w:p>
    <w:p>
      <w:pPr>
        <w:spacing w:before="240" w:after="240"/>
        <w:rPr>
          <w:lang w:val="el" w:eastAsia="el"/>
        </w:rPr>
      </w:pPr>
      <w:r>
        <w:rPr>
          <w:b/>
          <w:bCs/>
          <w:u w:val="single"/>
          <w:lang w:val="el" w:eastAsia="el"/>
        </w:rPr>
        <w:t>2. Προϊσταμένους Γενικών Δ/νσεων της ΑΑΔΕ</w:t>
      </w:r>
    </w:p>
    <w:p>
      <w:pPr>
        <w:spacing w:before="240" w:after="240"/>
        <w:rPr>
          <w:lang w:val="el" w:eastAsia="el"/>
        </w:rPr>
      </w:pPr>
      <w:r>
        <w:rPr>
          <w:b/>
          <w:bCs/>
          <w:u w:val="single"/>
          <w:lang w:val="el" w:eastAsia="el"/>
        </w:rPr>
        <w:t>3. Δ/νση Νομικής Υποστήριξης</w:t>
      </w:r>
    </w:p>
    <w:p>
      <w:pPr>
        <w:spacing w:before="240" w:after="240"/>
        <w:rPr>
          <w:lang w:val="el" w:eastAsia="el"/>
        </w:rPr>
      </w:pPr>
      <w:r>
        <w:rPr>
          <w:b/>
          <w:bCs/>
          <w:u w:val="single"/>
          <w:lang w:val="el" w:eastAsia="el"/>
        </w:rPr>
        <w:t>4. Δ/νση Διεθνών Οικονομικών Σχέσεων, Τμήματα Α’ και Γ’</w:t>
      </w:r>
    </w:p>
    <w:p>
      <w:pPr>
        <w:spacing w:before="240" w:after="240"/>
        <w:rPr>
          <w:lang w:val="el" w:eastAsia="el"/>
        </w:rPr>
      </w:pPr>
      <w:r>
        <w:rPr>
          <w:b/>
          <w:bCs/>
          <w:u w:val="single"/>
          <w:lang w:val="el" w:eastAsia="el"/>
        </w:rPr>
        <w:t>5. Δ/νση Εφαρμογής Άμεσης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ecd.org/tax/exchange-of-tax-information/Status_of_convention.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hyperlink" Target="http://www.oecd.org/tax/transparency/about-the-global-forum/members/" TargetMode="External" /><Relationship Id="rId7" Type="http://schemas.openxmlformats.org/officeDocument/2006/relationships/hyperlink" Target="http://www.oecd.org/tax/transparency/exchanget-of-information-on/request/ratings/" TargetMode="External" /><Relationship Id="rId8" Type="http://schemas.openxmlformats.org/officeDocument/2006/relationships/hyperlink" Target="http://www.oecd.org/tax/transparency/exchanget-of-information-on/request/ratings/" TargetMode="External" /><Relationship Id="rId9" Type="http://schemas.openxmlformats.org/officeDocument/2006/relationships/hyperlink" Target="https://www.oecd.org/tax/exchange-of-tax-information/Status_of_conven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